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bookmarkStart w:id="0" w:name="_heading=h.mnv2zv7m11bb" w:colFirst="0" w:colLast="0"/>
      <w:bookmarkEnd w:id="0"/>
      <w:r w:rsidRPr="00F411A4">
        <w:rPr>
          <w:rFonts w:ascii="Times New Roman" w:eastAsia="Times New Roman" w:hAnsi="Times New Roman" w:cs="Times New Roman"/>
          <w:noProof/>
          <w:sz w:val="24"/>
          <w:szCs w:val="24"/>
          <w:lang w:val="ro-RO"/>
        </w:rPr>
        <w:t>CAPITOLUL II</w:t>
      </w:r>
    </w:p>
    <w:p w14:paraId="00000002"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b/>
          <w:bCs/>
          <w:noProof/>
          <w:sz w:val="24"/>
          <w:szCs w:val="24"/>
          <w:lang w:val="ro-RO"/>
        </w:rPr>
        <w:t>Reglementări specifice personalului din sănătate, din unităţile de asistenţă medico-socială şi din unităţile de asistenţă socială/servicii sociale</w:t>
      </w:r>
    </w:p>
    <w:p w14:paraId="00000003"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04"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05"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 xml:space="preserve">ART. 1 </w:t>
      </w:r>
    </w:p>
    <w:p w14:paraId="00000006" w14:textId="77777777" w:rsidR="00373A89" w:rsidRPr="00F411A4" w:rsidRDefault="0070234E">
      <w:pPr>
        <w:numPr>
          <w:ilvl w:val="0"/>
          <w:numId w:val="1"/>
        </w:numPr>
        <w:pBdr>
          <w:top w:val="nil"/>
          <w:left w:val="nil"/>
          <w:bottom w:val="nil"/>
          <w:right w:val="nil"/>
          <w:between w:val="nil"/>
        </w:pBdr>
        <w:spacing w:after="0" w:line="240" w:lineRule="auto"/>
        <w:ind w:left="0" w:firstLine="0"/>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În unitățile sanitare, de asistență socială și de asistență medico-socială, unde activitatea se desfășoară fără întrerupere în sistem de trei ture de 8 ore pe zi sau în sistem de doua ture de 12 ore pe zi, personalul care lucrează lunar în toate cele trei ture de 8 ore pe zi sau în toate cele două ture de 12 ore pe zi, după caz, poate primi, în locul sporului pentru muncă prestată în timpul nopții, prevăzut la art. 17 din prezenta lege, un spor de 15% din salariul de bază pentru orele lucrate în cele trei, respectiv două ture. Condițiile de acordare a sporului se stabilesc prin ordinul prevăzut la Art. 8 din prezentul capitol.</w:t>
      </w:r>
    </w:p>
    <w:p w14:paraId="00000007" w14:textId="77777777" w:rsidR="00373A89" w:rsidRPr="00F411A4" w:rsidRDefault="0070234E">
      <w:pP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sz w:val="24"/>
          <w:szCs w:val="24"/>
          <w:lang w:val="ro-RO"/>
        </w:rPr>
        <w:t>(2) Sporul prevăzut la alin.(1) nu se ia în calcul la determinarea limitei sporurilor, primelor, premiilor şi indemnizaţiilor prevăzută la art. 21 alin.(2) din prezenta lege.</w:t>
      </w:r>
    </w:p>
    <w:p w14:paraId="00000008" w14:textId="77777777" w:rsidR="00373A89" w:rsidRPr="00F411A4" w:rsidRDefault="00373A89">
      <w:pPr>
        <w:pBdr>
          <w:top w:val="nil"/>
          <w:left w:val="nil"/>
          <w:bottom w:val="nil"/>
          <w:right w:val="nil"/>
          <w:between w:val="nil"/>
        </w:pBdr>
        <w:spacing w:after="0" w:line="240" w:lineRule="auto"/>
        <w:ind w:left="600"/>
        <w:jc w:val="both"/>
        <w:rPr>
          <w:rFonts w:ascii="Times New Roman" w:eastAsia="Times New Roman" w:hAnsi="Times New Roman" w:cs="Times New Roman"/>
          <w:noProof/>
          <w:color w:val="000000"/>
          <w:sz w:val="24"/>
          <w:szCs w:val="24"/>
          <w:lang w:val="ro-RO"/>
        </w:rPr>
      </w:pPr>
    </w:p>
    <w:p w14:paraId="00000009"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2</w:t>
      </w:r>
    </w:p>
    <w:p w14:paraId="0000000A" w14:textId="189D541A"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(1) Munca prestată de personalul din unităţile sanitare, de asistenţă socială şi de asistenţă medico-socială, în vederea asigurării continuităţii activităţii, în zilele de repaus săptămânal, de sărbători legale şi în celelalte zile în care, în conformitate cu reglementările în vigoare, nu se lucrează, în cadrul programului normal de lucru, se plăteşte cu un tarif orar cu 40% mai mare decât tariful orar aferent salariului de bază.</w:t>
      </w:r>
    </w:p>
    <w:p w14:paraId="0000000B"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(2) Munca astfel prestată şi plătită nu se compensează şi cu timp liber corespunzător.</w:t>
      </w:r>
    </w:p>
    <w:p w14:paraId="0000000C"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0D"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3</w:t>
      </w:r>
    </w:p>
    <w:p w14:paraId="0000000E"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(1) Personalul sanitar cu pregătire superioară care efectuează gărzi de urgență pentru asigurarea continuităţii asistenţei medicale în afara normei legale de muncă şi a programului normal de lucru de la funcţia de bază, în zilele lucrătoare, se salarizează cu tariful orar aferent salariului de bază. Tariful orar al gărzilor de monitorizare reprezintă 75% din cel al gărzii de urgență.</w:t>
      </w:r>
    </w:p>
    <w:p w14:paraId="0000000F" w14:textId="66B01F51"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(2)</w:t>
      </w:r>
      <w:r w:rsidRPr="00F411A4">
        <w:rPr>
          <w:rFonts w:ascii="Times New Roman" w:eastAsia="Times New Roman" w:hAnsi="Times New Roman" w:cs="Times New Roman"/>
          <w:noProof/>
          <w:sz w:val="24"/>
          <w:szCs w:val="24"/>
          <w:lang w:val="ro-RO"/>
        </w:rPr>
        <w:tab/>
        <w:t>Gărzile de urgență efectuate de personalul sanitar cu pregătire superioară pentru asigurarea continuităţii asistenţei medicale în afara normei legale de muncă şi a programului de lucru de la funcţia de bază, în zilele de repaus săptămânal, de sărbători legale şi în celelalte zile în care, potrivit dispoziţiilor legale, nu se lucrează, se plătesc cu un tarif orar cu 30% mai mare decât tariful orar aferent salariului de bază.</w:t>
      </w:r>
    </w:p>
    <w:p w14:paraId="00000010"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(3) Gărzile de monitorizare efectuate de personalul sanitar cu pregătire superioară pentru asigurarea continuităţii asistenţei medicale în afara normei legale de muncă şi a programului de lucru de la funcţia de bază, în zilele de repaus săptămânal, de sărbători legale şi în celelalte zile în care, potrivit dispoziţiilor legale, nu se lucrează, se plătesc cu tariful orar aferent salariului de bază.</w:t>
      </w:r>
    </w:p>
    <w:p w14:paraId="00000011"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(4) Medicii care sunt nominalizaţi să asigure asistenţa medicală de urgenţă, prin chemări de la domiciliu, sunt salarizaţi pentru perioada în care asigură garda la domiciliu cu 40% din tariful orar aferent salariului de bază pentru numărul de ore în care asigură garda la domiciliu.</w:t>
      </w:r>
    </w:p>
    <w:p w14:paraId="00000012"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13"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4</w:t>
      </w:r>
    </w:p>
    <w:p w14:paraId="00000014"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 xml:space="preserve">Personalul sanitar cu pregătire superioară cu funcţie de conducere care efectuează gărzi pentru asigurarea continuităţii asistenţei medicale în afara normei legale de muncă şi a programului normal de lucru de la funcţia de bază va beneficia de drepturile aferente activităţii prestate în linia de gardă, stabilite conform prevederilor art. 3 din prezenta anexă; pentru determinarea tarifului orar se utilizează salariul de bază al funcţiei de execuţie stabilit pentru funcţia şi gradul </w:t>
      </w:r>
      <w:r w:rsidRPr="00F411A4">
        <w:rPr>
          <w:rFonts w:ascii="Times New Roman" w:eastAsia="Times New Roman" w:hAnsi="Times New Roman" w:cs="Times New Roman"/>
          <w:noProof/>
          <w:sz w:val="24"/>
          <w:szCs w:val="24"/>
          <w:lang w:val="ro-RO"/>
        </w:rPr>
        <w:lastRenderedPageBreak/>
        <w:t>profesional în care acesta este confirmat prin ordin al ministrului sănătăţii, corespunzător vechimii în muncă.</w:t>
      </w:r>
    </w:p>
    <w:p w14:paraId="00000015"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16"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5</w:t>
      </w:r>
    </w:p>
    <w:p w14:paraId="00000017" w14:textId="77777777" w:rsidR="00373A89" w:rsidRPr="00F411A4" w:rsidRDefault="0070234E">
      <w:pPr>
        <w:spacing w:before="120" w:after="12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(1) Gărzile efectuate de personalul sanitar cu pregătire superioară pentru completarea normei legale de muncă și a programului normal de lucru de la funcția de bază, stabilite prin regulamente specifice, reprezintă gărzi obligatorii.</w:t>
      </w:r>
    </w:p>
    <w:p w14:paraId="00000018" w14:textId="77777777" w:rsidR="00373A89" w:rsidRPr="00F411A4" w:rsidRDefault="0070234E">
      <w:pPr>
        <w:spacing w:before="120" w:after="12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(2) Personalul sanitar cu pregătire superioară încadrat pe posturi în cadrul organigramei unităților sanitare și care este nominalizat prin graficele de gardă, aprobate potrivit prevederilor legale în vigoare, să efectueze gărzi peste durata prevăzută la alin.(1), în vederea respectării obligației legale a unității de a asigura continuitatea asistentei medicale, va încheia cu unitatea sanitară publică un contract individual de muncă cu timp parțial pentru activitatea prestată în linia de gardă și va beneficia numai de drepturile aferente activității prestate în linia de gardă.</w:t>
      </w:r>
    </w:p>
    <w:p w14:paraId="00000019" w14:textId="77777777" w:rsidR="00373A89" w:rsidRPr="00F411A4" w:rsidRDefault="0070234E">
      <w:pPr>
        <w:spacing w:before="120" w:after="12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(3) Prin excepție de la alin (2), în situația în care unitatea sanitară publică se confruntă cu deficit de personal, poate include în linia de gardă și personal sanitar cu pregătire superioară din afara organigramei, care la nivelul acestei unități va desfășura activitate numai în linia de gardă, în baza unui contract individual de muncă cu timp parțial pentru activitatea prestată în linia de gardă și va beneficia numai de drepturile aferente activității prestate în linia de gardă, stabilite conform prevederilor acestui articol. Salariul de bază se stabilește pentru funcția și gradul profesional în care aceștia sunt confirmați prin ordin al ministrului Sănătății, corespunzător vechimii în muncă, și se utilizează pentru stabilirea tarifului orar.</w:t>
      </w:r>
    </w:p>
    <w:p w14:paraId="0000001A" w14:textId="77777777" w:rsidR="00373A89" w:rsidRPr="00F411A4" w:rsidRDefault="0070234E">
      <w:pPr>
        <w:spacing w:before="120" w:after="12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(4) Contravaloarea gărzilor efectuate în afara normei legale de muncă și a programului normal de lucru de la funcția de bază face parte din suma salariilor de bază, în sensul art.21 din prezenta lege.</w:t>
      </w:r>
    </w:p>
    <w:p w14:paraId="0000001B"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6</w:t>
      </w:r>
    </w:p>
    <w:p w14:paraId="0000001C"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(1) Personalul didactic medico-farmaceutic desfăşoară activitate integrată în unităţile sanitare în care funcţionează catedra sau disciplina didactică.</w:t>
      </w:r>
    </w:p>
    <w:p w14:paraId="0000001D"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(2) Personalul didactic de la catedrele sau disciplinele care funcţionează în alte unităţi decât cele sanitare este integrat în unităţile sanitare stabilite de Ministerul Sănătăţii.</w:t>
      </w:r>
    </w:p>
    <w:p w14:paraId="0000001E"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(3) Cadrele didactice prevăzute la alin. (1) şi (2), cu excepţia rezidenţilor, desfăşoară activitate integrată prin cumul de funcţii în baza unui contract individual de muncă cu 1/2 normă, în limita posturilor normate şi vacante.</w:t>
      </w:r>
    </w:p>
    <w:p w14:paraId="0000001F"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(4) Prin excepţie de la prevederile alin. (3), cadrele didactice care ocupă funcţiile de şef secţie, şef laborator sau şef serviciu medical desfăşoară activitate integrată, prin cumul de funcţii, în baza unui contract de administrare cu o durată de 7 ore zilnic şi beneficiază de drepturile salariale aferente contractului de administrare.</w:t>
      </w:r>
    </w:p>
    <w:p w14:paraId="00000020"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(5) La încetarea raporturilor de muncă cu unităţile de învăţământ, cadrele didactice care au fost integrate o perioadă mai mare de 5 ani îşi pot continua activitatea, cu normă întreagă, în unităţile sanitare în care au fost integrate, în baza contractului individual de muncă pe perioadă nedeterminată.</w:t>
      </w:r>
    </w:p>
    <w:p w14:paraId="00000021"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(6) Cadrele didactice prevăzute la alin. (1) și alin.(2), care desfăşoară activitate integrată în baza unui contract individual de muncă cu 1/2 normă, beneficiază şi de o indemnizaţie lunară egală cu 50% din salariul de bază al funcţiei de medic, medic stomatolog sau farmacist, corespunzător vechimii în muncă şi gradului profesional deţinut, şi nu se ia în calcul la determinarea limitei prevăzute la art. 21 din prezenta lege.</w:t>
      </w:r>
    </w:p>
    <w:p w14:paraId="00000022"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 xml:space="preserve">(7) Indemnizaţia prevăzută la alin. (6), pentru personalul încadrat în unităţi sanitare publice aflate în relaţie contractuală cu casele de asigurări de sănătate, se asigură de la bugetul de stat, </w:t>
      </w:r>
      <w:r w:rsidRPr="00F411A4">
        <w:rPr>
          <w:rFonts w:ascii="Times New Roman" w:eastAsia="Times New Roman" w:hAnsi="Times New Roman" w:cs="Times New Roman"/>
          <w:noProof/>
          <w:sz w:val="24"/>
          <w:szCs w:val="24"/>
          <w:lang w:val="ro-RO"/>
        </w:rPr>
        <w:lastRenderedPageBreak/>
        <w:t>prin bugetul Ministerului Sănătăţii, prin transferuri către bugetul Fondului naţional unic de asigurări sociale de sănătate.</w:t>
      </w:r>
    </w:p>
    <w:p w14:paraId="00000023"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(8) Indemnizaţia prevăzută la alin. (6), pentru personalul încadrat în unităţi sanitare publice care nu se află în relaţie contractuală cu casele de asigurări de sănătate, se asigură de la bugetul de stat, prin bugetul Ministerului Sănătăţii, respectiv din bugetul ordonatorului principal de credite pentru instituţiile subordonate.</w:t>
      </w:r>
    </w:p>
    <w:p w14:paraId="00000024"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25"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bookmarkStart w:id="1" w:name="_heading=h.4l4xogavs4j" w:colFirst="0" w:colLast="0"/>
      <w:bookmarkEnd w:id="1"/>
      <w:r w:rsidRPr="00F411A4">
        <w:rPr>
          <w:rFonts w:ascii="Times New Roman" w:eastAsia="Times New Roman" w:hAnsi="Times New Roman" w:cs="Times New Roman"/>
          <w:noProof/>
          <w:sz w:val="24"/>
          <w:szCs w:val="24"/>
          <w:lang w:val="ro-RO"/>
        </w:rPr>
        <w:t>ART. 7</w:t>
      </w:r>
    </w:p>
    <w:p w14:paraId="00000026"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(1) În raport cu condiţiile în care se desfăşoară activitatea, personalul de specialitate medico-sanitar şi auxiliar sanitar din unităţile sanitare şi unităţile medico-sociale beneficiază, corespunzător timpului lucrat la locurile de muncă/activitățile respective, de următoarele categorii de sporuri: </w:t>
      </w:r>
    </w:p>
    <w:p w14:paraId="00000027"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a) pentru condiții deosebit de periculoase, nivelul I: structurile de primire a urgenţelor (UPU - SMURD, UPU, CPU), secţii şi compartimente de ATI, de terapie intensivă şi de terapie acută, anatomie patologică și medicină legală, secțiile și laboratoarele de cardiologie şi radiologie intervenţională, prelevarea și transplantul de organe, cuantumul sporului este de la 40% până la 55% din salariul de bază. </w:t>
      </w:r>
    </w:p>
    <w:p w14:paraId="00000028"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b) pentru condiții deosebit de periculoase, nivelul II: personalul medical și auxiliar sanitar din leprozerii, TBC, SIDA, recuperare neuromotorie, neuropsihomotorie, neuromusculară şi neurologică, psihiatrie, asistenţă medicală de urgenţă şi transport sanitar, acordată prin serviciile de ambulanţă, unităţi de supraveghere şi tratament avansat al pacienţilor cardiaci critici (USTACC), secţii şi compartimente de transplant de organe, secţii/compartimente pentru arşi, laboratoare de radioterapie, centru pentru arşi, Institutul Naţional de Hematologie Transfuzională "Prof. Dr. C.T. Nicolau" Bucureşti, secţii şi compartimente de oncologie medicală, oncologie pediatrică, radioterapie, hematologie oncologică, camera de garda, chirurgie plastică - microchirurgie reconstructivă, centrele de transfuzie sanguină regionale/judeţene şi al municipiului Bucureşti, personalul încadrat în blocul operator și alte săli operații, unităţi de accidente vasculare cerebrale acute (UAVCA)/unitate de urgenţe neurovasculare, genetică medicală, precum şi medicii de specialitate chirurgicală, epidemii deosebit de grave şi altele asemenea, cuantumul sporului este de la 30% până la 50% din salariul de bază. </w:t>
      </w:r>
    </w:p>
    <w:p w14:paraId="00000029"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c) pentru condiții deosebit de periculoase, nivelul III: personalul medical și auxiliar sanitar din dializă, secţii şi compartimente de îngrijiri paliative, neurologie, neurochirurgie, personalul încadrat în punctele de transfuzii din spital, în laboratoarele de endoscopie intervenţională, unităţi, secţii şi compartimente de boli infecţioase, unităţi, secţii şi compartimente cu paturi din specialităţile: traumatologie vertebro-medulară şi neuromotorie, chirurgie cardiovasculară, chirurgie cardiacă şi a vaselor mari, chirurgie vasculară, chirurgie toracică, ortopedie, traumatologie, chirurgie şi ortopedie pediatrică, chirurgie generală, urologie, structurile de cercetare ştiinţifică ale spitalelor de psihiatrie si TBC, boli infectioase, din unităţi de recuperare neuromotorie, recuperare neuropsihomotorie, recuperare neuromusculară şi recuperare neurologică, cabinetele medicale de psihiatrie şi psihiatrie pediatrică/neuropsihiatrie infantilă, laboratoarele/centrele de sănătate mintală, serviciul/compartimentul de prevenire a infecţiilor asociate asistenţei medicale, gastroenterologie, cuantumul sporului este de la 15% până la 30% din salariul de bază; pentru personalul nemedical din leprozerii, TBC, psihiatrie, boli infecțioase cuantumul sporului este de până la 20% din salariul de bază. </w:t>
      </w:r>
    </w:p>
    <w:p w14:paraId="0000002A"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d) pentru personalul din unităţi, secţii şi compartimente de neonatologie, săli de naştere şi din laboratoarele de analize medicale, care îşi desfăşoară activitatea în condiţii periculoase, un spor de la 10% până la 20% din salariul de bază; pentru personalul care îşi desfăşoară activitatea cu surse de radiaţii sau generatoare de radiaţii, sporul pentru condiţii periculoase este diferenţiat </w:t>
      </w:r>
      <w:r w:rsidRPr="00F411A4">
        <w:rPr>
          <w:rFonts w:ascii="Times New Roman" w:eastAsia="Times New Roman" w:hAnsi="Times New Roman" w:cs="Times New Roman"/>
          <w:noProof/>
          <w:color w:val="000000"/>
          <w:sz w:val="24"/>
          <w:szCs w:val="24"/>
          <w:lang w:val="ro-RO"/>
        </w:rPr>
        <w:lastRenderedPageBreak/>
        <w:t xml:space="preserve">pe categorii de risc radiologic astfel: 5% la categoria I, 10% la categoria a II-a, 15% la categoria a III-a şi 20% la categoria a IV-a. </w:t>
      </w:r>
    </w:p>
    <w:p w14:paraId="0000002B"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e) pentru condiţii grele și deosebite de muncă, un spor de la 5% până la 10% din salariul de bază, corespunzător timpului lucrat la locurile de muncă respective; </w:t>
      </w:r>
    </w:p>
    <w:p w14:paraId="0000002C"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(2) Nivelul sporului prevăzut la alin. (1) lit. a) -e), așa acum este stabilit în Regulamentul de sporuri adoptat prin Ordin de ministru, se stabilește de conducerea fiecărei unităţi sanitare cu personalitate juridică, cu acordul organizațiilor sindicale reprezentative la nivel de unitate/sindicatelor afiliate la federațiile reprezentative la nivel de sector şi cu încadrarea în cheltuielile de personal aprobate în bugetul de venituri şi cheltuieli. </w:t>
      </w:r>
    </w:p>
    <w:p w14:paraId="0000002D" w14:textId="23B43BEF"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(3) Personalul care își desfășoară activitatea în unitățile sanitare aflate în localitățile izolate, situate la altitudine, care au căi de acces dificile, în unitățile cu specific deosebit, sau unde atragerea personalului se face cu greutate ori există deficit de specialiști primește un spor de 5% până la 15% din salariul de bază, în raport cu zona geografică respectivă, condițiile de muncă și amploarea deficitului. Unitățile prevăzute la acest aliniat se stabilesc prin </w:t>
      </w:r>
      <w:r w:rsidR="00F411A4">
        <w:rPr>
          <w:rFonts w:ascii="Times New Roman" w:eastAsia="Times New Roman" w:hAnsi="Times New Roman" w:cs="Times New Roman"/>
          <w:noProof/>
          <w:color w:val="000000"/>
          <w:sz w:val="24"/>
          <w:szCs w:val="24"/>
          <w:lang w:val="ro-RO"/>
        </w:rPr>
        <w:t>hotărâre de Guvern,</w:t>
      </w:r>
      <w:r w:rsidRPr="00F411A4">
        <w:rPr>
          <w:rFonts w:ascii="Times New Roman" w:eastAsia="Times New Roman" w:hAnsi="Times New Roman" w:cs="Times New Roman"/>
          <w:noProof/>
          <w:color w:val="000000"/>
          <w:sz w:val="24"/>
          <w:szCs w:val="24"/>
          <w:lang w:val="ro-RO"/>
        </w:rPr>
        <w:t xml:space="preserve"> inițiat</w:t>
      </w:r>
      <w:r w:rsidR="00F411A4">
        <w:rPr>
          <w:rFonts w:ascii="Times New Roman" w:eastAsia="Times New Roman" w:hAnsi="Times New Roman" w:cs="Times New Roman"/>
          <w:noProof/>
          <w:color w:val="000000"/>
          <w:sz w:val="24"/>
          <w:szCs w:val="24"/>
          <w:lang w:val="ro-RO"/>
        </w:rPr>
        <w:t>ă</w:t>
      </w:r>
      <w:r w:rsidRPr="00F411A4">
        <w:rPr>
          <w:rFonts w:ascii="Times New Roman" w:eastAsia="Times New Roman" w:hAnsi="Times New Roman" w:cs="Times New Roman"/>
          <w:noProof/>
          <w:color w:val="000000"/>
          <w:sz w:val="24"/>
          <w:szCs w:val="24"/>
          <w:lang w:val="ro-RO"/>
        </w:rPr>
        <w:t xml:space="preserve"> de ministerul sănătății, cu consultarea federațiilor reprezentative la nivel de sector Sănătate. Aceste sporuri nu se iau în calcul la determinarea limitei sporurilor, primelor, premiilor şi indemnizațiilor prevăzută la art. 21 alin.(2) din prezenta lege. </w:t>
      </w:r>
    </w:p>
    <w:p w14:paraId="0000002E"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4) Sporurile prevăzute la alin. (1) lit.a)-e) nu pot fi acordate cumulat aceleiași persoane, cu excepția personalului prevăzut la alin. (1) lit. d) teza a doua, care desfășoară activități de radiologie intervențională în sălile de operații sau în alte condiții. </w:t>
      </w:r>
    </w:p>
    <w:p w14:paraId="0000002F"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5) Locurile de muncă, categoriile de personal, mărimea concretă a sporului, precum şi condiţiile de acordare a acestora se stabilesc de către ordonatorul de credite, cu acordul sindicatelor reprezentative/afiliate la federațiile reprezentative la nivel de sector Sănătate în limita prevederilor din regulamentul elaborat potrivit prezentei legi, având la bază buletinele de determinare sau, după caz, expertizare, emise de către autorităţile abilitate în acest sens. </w:t>
      </w:r>
    </w:p>
    <w:p w14:paraId="00000030" w14:textId="77777777" w:rsidR="00373A89" w:rsidRPr="00F411A4" w:rsidRDefault="0070234E">
      <w:pPr>
        <w:pBdr>
          <w:top w:val="nil"/>
          <w:left w:val="nil"/>
          <w:bottom w:val="nil"/>
          <w:right w:val="nil"/>
          <w:between w:val="nil"/>
        </w:pBdr>
        <w:spacing w:after="0" w:line="240" w:lineRule="auto"/>
        <w:jc w:val="both"/>
        <w:rPr>
          <w:rFonts w:ascii="Times New Roman" w:eastAsia="Times New Roman" w:hAnsi="Times New Roman" w:cs="Times New Roman"/>
          <w:noProof/>
          <w:color w:val="000000"/>
          <w:sz w:val="24"/>
          <w:szCs w:val="24"/>
          <w:lang w:val="ro-RO"/>
        </w:rPr>
      </w:pPr>
      <w:r w:rsidRPr="00F411A4">
        <w:rPr>
          <w:rFonts w:ascii="Times New Roman" w:eastAsia="Times New Roman" w:hAnsi="Times New Roman" w:cs="Times New Roman"/>
          <w:noProof/>
          <w:color w:val="000000"/>
          <w:sz w:val="24"/>
          <w:szCs w:val="24"/>
          <w:lang w:val="ro-RO"/>
        </w:rPr>
        <w:t xml:space="preserve">(6) Personalul de specialitate medico-sanitar din cadrul direcţiilor de sănătate publică poate beneficia, în raport cu condiţiile de muncă, de sporurile prevăzute la alin. (1) lit. a), b), c) şi e), dacă îşi desfăşoară activitatea în aceleaşi condiţii cu personalul care beneficiază de aceste sporuri, în condițiile Regulamentului de sporuri. </w:t>
      </w:r>
    </w:p>
    <w:p w14:paraId="00000031"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(7) Regulamentul de sporuri se stabilește prin Ordin de ministru cu acordul federațiilor sindicale reprezentative la nivel de sector Sănătate.</w:t>
      </w:r>
    </w:p>
    <w:p w14:paraId="00000032"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33"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8</w:t>
      </w:r>
    </w:p>
    <w:p w14:paraId="00000034"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Regulamentul privind timpul de muncă, organizarea şi efectuarea gărzilor în unităţile publice din sistemul sanitar se aprobă prin ordin al ministrului sănătăţii, cu consultarea organizaţiilor sindicale reprezentative la nivel de sector Sănătate.</w:t>
      </w:r>
    </w:p>
    <w:p w14:paraId="00000035"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 xml:space="preserve">    </w:t>
      </w:r>
    </w:p>
    <w:p w14:paraId="00000036"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9</w:t>
      </w:r>
    </w:p>
    <w:p w14:paraId="00000037"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Metodologia privind încadrarea şi promovarea personalului de specialitate medico-sanitar și auxiliar sanitar din unitățile sanitare publice în funcţii, grade şi trepte profesionale se aprobă prin ordin al ministrului sănătăţii, cu consultarea federațiilor sindicale reprezentative la nivel de sector Sănătate.</w:t>
      </w:r>
    </w:p>
    <w:p w14:paraId="00000072"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73" w14:textId="3DAAEE2E" w:rsidR="00373A89" w:rsidRPr="00F411A4" w:rsidRDefault="0070234E">
      <w:pPr>
        <w:spacing w:before="120" w:after="120" w:line="240" w:lineRule="auto"/>
        <w:jc w:val="both"/>
        <w:rPr>
          <w:noProof/>
          <w:sz w:val="24"/>
          <w:szCs w:val="24"/>
          <w:lang w:val="ro-RO"/>
        </w:rPr>
      </w:pPr>
      <w:r w:rsidRPr="00F411A4">
        <w:rPr>
          <w:rFonts w:ascii="Times New Roman" w:eastAsia="Times New Roman" w:hAnsi="Times New Roman" w:cs="Times New Roman"/>
          <w:noProof/>
          <w:sz w:val="24"/>
          <w:szCs w:val="24"/>
          <w:lang w:val="ro-RO"/>
        </w:rPr>
        <w:t>ART. 1</w:t>
      </w:r>
      <w:r w:rsidR="00FB25BB" w:rsidRPr="00F411A4">
        <w:rPr>
          <w:rFonts w:ascii="Times New Roman" w:eastAsia="Times New Roman" w:hAnsi="Times New Roman" w:cs="Times New Roman"/>
          <w:noProof/>
          <w:sz w:val="24"/>
          <w:szCs w:val="24"/>
          <w:lang w:val="ro-RO"/>
        </w:rPr>
        <w:t>0</w:t>
      </w:r>
    </w:p>
    <w:p w14:paraId="2B447C07"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(1) Coeficienții de salarizare pentru personalul de specialitate medico-sanitar și auxiliar sanitar din unități sanitare și unități de asistență </w:t>
      </w:r>
      <w:proofErr w:type="spellStart"/>
      <w:r w:rsidRPr="00F411A4">
        <w:rPr>
          <w:rFonts w:ascii="Times New Roman" w:eastAsia="Times New Roman" w:hAnsi="Times New Roman" w:cs="Times New Roman"/>
          <w:sz w:val="24"/>
          <w:szCs w:val="24"/>
        </w:rPr>
        <w:t>medico</w:t>
      </w:r>
      <w:proofErr w:type="spellEnd"/>
      <w:r w:rsidRPr="00F411A4">
        <w:rPr>
          <w:rFonts w:ascii="Times New Roman" w:eastAsia="Times New Roman" w:hAnsi="Times New Roman" w:cs="Times New Roman"/>
          <w:sz w:val="24"/>
          <w:szCs w:val="24"/>
        </w:rPr>
        <w:t xml:space="preserve">-sociale se diferențiază în funcție de încadrarea acestuia pe categoriile de unități sanitare, după cum urmează: </w:t>
      </w:r>
    </w:p>
    <w:p w14:paraId="7D56EA10"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a)Categoria I cuprinde:</w:t>
      </w:r>
    </w:p>
    <w:p w14:paraId="0A5E59A2"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(i)spitalele regionale de urgență,</w:t>
      </w:r>
    </w:p>
    <w:p w14:paraId="60A14C07"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lastRenderedPageBreak/>
        <w:t>unități sanitare cu paturi din municipiile unde funcționează universități de medicină, respectiv: spitale clinice de urgență, spitale județene clinice de urgență, spitale universitare de urgență, institute de urgență,</w:t>
      </w:r>
    </w:p>
    <w:p w14:paraId="26EEA0E1"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(ii)</w:t>
      </w:r>
      <w:r w:rsidRPr="00F411A4">
        <w:rPr>
          <w:rFonts w:ascii="Times New Roman" w:eastAsia="Times New Roman" w:hAnsi="Times New Roman" w:cs="Times New Roman"/>
          <w:sz w:val="14"/>
          <w:szCs w:val="14"/>
        </w:rPr>
        <w:t xml:space="preserve"> </w:t>
      </w:r>
      <w:r w:rsidRPr="00F411A4">
        <w:rPr>
          <w:rFonts w:ascii="Times New Roman" w:eastAsia="Times New Roman" w:hAnsi="Times New Roman" w:cs="Times New Roman"/>
          <w:sz w:val="24"/>
          <w:szCs w:val="24"/>
        </w:rPr>
        <w:t>institute naționale,</w:t>
      </w:r>
    </w:p>
    <w:p w14:paraId="2B9EA6A4"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(iii)Institutul Clinic Fundeni,</w:t>
      </w:r>
    </w:p>
    <w:p w14:paraId="006B9F53"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(iv) institute de medicină legală;  </w:t>
      </w:r>
      <w:r w:rsidRPr="00F411A4">
        <w:rPr>
          <w:rFonts w:ascii="Times New Roman" w:eastAsia="Times New Roman" w:hAnsi="Times New Roman" w:cs="Times New Roman"/>
          <w:sz w:val="24"/>
          <w:szCs w:val="24"/>
        </w:rPr>
        <w:tab/>
      </w:r>
    </w:p>
    <w:p w14:paraId="3BCBDA0A"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b)Categoria II:</w:t>
      </w:r>
    </w:p>
    <w:p w14:paraId="167895E4"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 spitalele clinice de urgență din municipiile unde funcționează facultăți de medicină,</w:t>
      </w:r>
    </w:p>
    <w:p w14:paraId="2B1B0C1E"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(ii)spitalele clinice din municipiile unde funcționează universități de medicină,</w:t>
      </w:r>
    </w:p>
    <w:p w14:paraId="47ACAEE5"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(iii)serviciile de ambulanță din județene unde funcționează universități și facultăți de medicină;</w:t>
      </w:r>
    </w:p>
    <w:p w14:paraId="46BE526B"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c)Categoria III:</w:t>
      </w:r>
    </w:p>
    <w:p w14:paraId="0E6CBACD"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(i)unități sanitare cu paturi după cum urmează: spitalele județene de urgență, spitale de urgență,  spitalele de psihiatrie și pentru măsuri de siguranță,</w:t>
      </w:r>
    </w:p>
    <w:p w14:paraId="7C46FB79"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(ii)serviciile de ambulanță județene,</w:t>
      </w:r>
    </w:p>
    <w:p w14:paraId="4A2A4937"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(iii)direcțiile de sănătate publică,</w:t>
      </w:r>
    </w:p>
    <w:p w14:paraId="5347B159"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(iv)spitalele clinice din municipiile unde funcționează facultăți de medicină;   </w:t>
      </w:r>
      <w:r w:rsidRPr="00F411A4">
        <w:rPr>
          <w:rFonts w:ascii="Times New Roman" w:eastAsia="Times New Roman" w:hAnsi="Times New Roman" w:cs="Times New Roman"/>
          <w:sz w:val="24"/>
          <w:szCs w:val="24"/>
        </w:rPr>
        <w:tab/>
      </w:r>
    </w:p>
    <w:p w14:paraId="006B9288"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d)Categoria IV cuprinde spitalele municipale și spitalele de specialitate, altele decât cele prevăzute în </w:t>
      </w:r>
      <w:proofErr w:type="spellStart"/>
      <w:r w:rsidRPr="00F411A4">
        <w:rPr>
          <w:rFonts w:ascii="Times New Roman" w:eastAsia="Times New Roman" w:hAnsi="Times New Roman" w:cs="Times New Roman"/>
          <w:sz w:val="24"/>
          <w:szCs w:val="24"/>
        </w:rPr>
        <w:t>categ</w:t>
      </w:r>
      <w:proofErr w:type="spellEnd"/>
      <w:r w:rsidRPr="00F411A4">
        <w:rPr>
          <w:rFonts w:ascii="Times New Roman" w:eastAsia="Times New Roman" w:hAnsi="Times New Roman" w:cs="Times New Roman"/>
          <w:sz w:val="24"/>
          <w:szCs w:val="24"/>
        </w:rPr>
        <w:t xml:space="preserve">. I, II și III;  </w:t>
      </w:r>
      <w:r w:rsidRPr="00F411A4">
        <w:rPr>
          <w:rFonts w:ascii="Times New Roman" w:eastAsia="Times New Roman" w:hAnsi="Times New Roman" w:cs="Times New Roman"/>
          <w:sz w:val="24"/>
          <w:szCs w:val="24"/>
        </w:rPr>
        <w:tab/>
      </w:r>
    </w:p>
    <w:p w14:paraId="39E10DCD"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e)Categoria V cuprinde spitalele orășenești și unități sanitare ambulatorii;                                            </w:t>
      </w:r>
    </w:p>
    <w:p w14:paraId="09DB3344" w14:textId="77777777" w:rsidR="00F411A4" w:rsidRPr="00F411A4" w:rsidRDefault="00F411A4" w:rsidP="00F411A4">
      <w:pPr>
        <w:spacing w:after="6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f)Categoria VI cuprinde unități de asistență </w:t>
      </w:r>
      <w:proofErr w:type="spellStart"/>
      <w:r w:rsidRPr="00F411A4">
        <w:rPr>
          <w:rFonts w:ascii="Times New Roman" w:eastAsia="Times New Roman" w:hAnsi="Times New Roman" w:cs="Times New Roman"/>
          <w:sz w:val="24"/>
          <w:szCs w:val="24"/>
        </w:rPr>
        <w:t>medico</w:t>
      </w:r>
      <w:proofErr w:type="spellEnd"/>
      <w:r w:rsidRPr="00F411A4">
        <w:rPr>
          <w:rFonts w:ascii="Times New Roman" w:eastAsia="Times New Roman" w:hAnsi="Times New Roman" w:cs="Times New Roman"/>
          <w:sz w:val="24"/>
          <w:szCs w:val="24"/>
        </w:rPr>
        <w:t xml:space="preserve">-sociale, sanatorii, preventorii, cabinete de medicină școlară, compartimente de asistență comunitară.                   </w:t>
      </w:r>
      <w:r w:rsidRPr="00F411A4">
        <w:rPr>
          <w:rFonts w:ascii="Times New Roman" w:eastAsia="Times New Roman" w:hAnsi="Times New Roman" w:cs="Times New Roman"/>
          <w:sz w:val="24"/>
          <w:szCs w:val="24"/>
        </w:rPr>
        <w:tab/>
        <w:t xml:space="preserve">                                                                                               </w:t>
      </w:r>
    </w:p>
    <w:p w14:paraId="394A62B6" w14:textId="77777777" w:rsidR="00F411A4" w:rsidRPr="00F411A4" w:rsidRDefault="00F411A4" w:rsidP="00F411A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(2</w:t>
      </w:r>
      <w:r w:rsidRPr="00F411A4">
        <w:rPr>
          <w:rFonts w:ascii="Times New Roman" w:eastAsia="Times New Roman" w:hAnsi="Times New Roman" w:cs="Times New Roman"/>
          <w:color w:val="000000"/>
          <w:sz w:val="24"/>
          <w:szCs w:val="24"/>
        </w:rPr>
        <w:t>)</w:t>
      </w:r>
      <w:r w:rsidRPr="00F411A4">
        <w:rPr>
          <w:rFonts w:ascii="Times New Roman" w:eastAsia="Times New Roman" w:hAnsi="Times New Roman" w:cs="Times New Roman"/>
          <w:sz w:val="24"/>
          <w:szCs w:val="24"/>
        </w:rPr>
        <w:t xml:space="preserve"> Coeficienții de salarizare prevăzuți în Capitolul 1 din prezenta anexă sunt cei corespunzători categoriei prevăzute la alin. (1) lit. c), respectiv categoria III, aceștia constituind referința pentru ierarhizare.</w:t>
      </w:r>
    </w:p>
    <w:p w14:paraId="75B9C3FE" w14:textId="77777777" w:rsidR="00F411A4" w:rsidRPr="00F411A4" w:rsidRDefault="00F411A4" w:rsidP="00F411A4">
      <w:p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(3)</w:t>
      </w:r>
      <w:r w:rsidRPr="00F411A4">
        <w:rPr>
          <w:rFonts w:ascii="Times New Roman" w:eastAsia="Times New Roman" w:hAnsi="Times New Roman" w:cs="Times New Roman"/>
          <w:sz w:val="14"/>
          <w:szCs w:val="14"/>
        </w:rPr>
        <w:t xml:space="preserve">   </w:t>
      </w:r>
      <w:r w:rsidRPr="00F411A4">
        <w:rPr>
          <w:rFonts w:ascii="Times New Roman" w:eastAsia="Times New Roman" w:hAnsi="Times New Roman" w:cs="Times New Roman"/>
          <w:sz w:val="24"/>
          <w:szCs w:val="24"/>
        </w:rPr>
        <w:t>Diferența dintre două categorii de unități succesive conform clasificării de la alin. (1) nu poate fi mai mică de 3%, iar coeficientul unei categorii inferioare nu poate atinge sau depăși nivelul categoriei imediat superioare.</w:t>
      </w:r>
    </w:p>
    <w:p w14:paraId="72A0EC58" w14:textId="77777777" w:rsidR="00F411A4" w:rsidRPr="00F411A4" w:rsidRDefault="00F411A4" w:rsidP="00F411A4">
      <w:pPr>
        <w:spacing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(4)</w:t>
      </w:r>
      <w:r w:rsidRPr="00F411A4">
        <w:rPr>
          <w:rFonts w:ascii="Times New Roman" w:eastAsia="Times New Roman" w:hAnsi="Times New Roman" w:cs="Times New Roman"/>
          <w:sz w:val="14"/>
          <w:szCs w:val="14"/>
        </w:rPr>
        <w:t xml:space="preserve">   </w:t>
      </w:r>
      <w:r w:rsidRPr="00F411A4">
        <w:rPr>
          <w:rFonts w:ascii="Times New Roman" w:eastAsia="Times New Roman" w:hAnsi="Times New Roman" w:cs="Times New Roman"/>
          <w:sz w:val="24"/>
          <w:szCs w:val="24"/>
        </w:rPr>
        <w:t>Coeficienții pentru fiecare categorie de unitate se stabilesc anual prin hotărâre de guvern, cu acordul federațiilor sindicale reprezentative, în limita bugetului aprobat.</w:t>
      </w:r>
    </w:p>
    <w:p w14:paraId="2297DC97" w14:textId="77777777" w:rsidR="00F411A4" w:rsidRPr="00F411A4" w:rsidRDefault="00F411A4" w:rsidP="00F411A4">
      <w:pPr>
        <w:spacing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ART. 11</w:t>
      </w:r>
    </w:p>
    <w:p w14:paraId="36F640A2" w14:textId="77777777" w:rsidR="00F411A4" w:rsidRPr="00F411A4" w:rsidRDefault="00F411A4" w:rsidP="00F411A4">
      <w:pPr>
        <w:pBdr>
          <w:top w:val="nil"/>
          <w:left w:val="nil"/>
          <w:bottom w:val="nil"/>
          <w:right w:val="nil"/>
          <w:between w:val="nil"/>
        </w:pBd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(1) Coeficienții de salarizare pentru personalul de specialitate medico-sanitar și auxiliar sanitar din unități sanitare și unități de asistență </w:t>
      </w:r>
      <w:proofErr w:type="spellStart"/>
      <w:r w:rsidRPr="00F411A4">
        <w:rPr>
          <w:rFonts w:ascii="Times New Roman" w:eastAsia="Times New Roman" w:hAnsi="Times New Roman" w:cs="Times New Roman"/>
          <w:sz w:val="24"/>
          <w:szCs w:val="24"/>
        </w:rPr>
        <w:t>medico</w:t>
      </w:r>
      <w:proofErr w:type="spellEnd"/>
      <w:r w:rsidRPr="00F411A4">
        <w:rPr>
          <w:rFonts w:ascii="Times New Roman" w:eastAsia="Times New Roman" w:hAnsi="Times New Roman" w:cs="Times New Roman"/>
          <w:sz w:val="24"/>
          <w:szCs w:val="24"/>
        </w:rPr>
        <w:t xml:space="preserve">-sociale se diferențiază suplimentar și în baza complexității </w:t>
      </w:r>
      <w:r w:rsidRPr="00F411A4">
        <w:rPr>
          <w:rFonts w:ascii="Times New Roman" w:eastAsia="Times New Roman" w:hAnsi="Times New Roman" w:cs="Times New Roman"/>
          <w:color w:val="000000"/>
          <w:sz w:val="24"/>
          <w:szCs w:val="24"/>
        </w:rPr>
        <w:t xml:space="preserve">muncii și </w:t>
      </w:r>
      <w:r w:rsidRPr="00F411A4">
        <w:rPr>
          <w:rFonts w:ascii="Times New Roman" w:eastAsia="Times New Roman" w:hAnsi="Times New Roman" w:cs="Times New Roman"/>
          <w:sz w:val="24"/>
          <w:szCs w:val="24"/>
        </w:rPr>
        <w:t>contextul</w:t>
      </w:r>
      <w:r w:rsidRPr="00F411A4">
        <w:rPr>
          <w:rFonts w:ascii="Times New Roman" w:eastAsia="Times New Roman" w:hAnsi="Times New Roman" w:cs="Times New Roman"/>
          <w:color w:val="000000"/>
          <w:sz w:val="24"/>
          <w:szCs w:val="24"/>
        </w:rPr>
        <w:t xml:space="preserve"> specific de desfășurare a activității profesionale, </w:t>
      </w:r>
      <w:r w:rsidRPr="00F411A4">
        <w:rPr>
          <w:rFonts w:ascii="Times New Roman" w:eastAsia="Times New Roman" w:hAnsi="Times New Roman" w:cs="Times New Roman"/>
          <w:sz w:val="24"/>
          <w:szCs w:val="24"/>
        </w:rPr>
        <w:t xml:space="preserve">prin aplicarea unor factori de multiplicare în funcție de grupele </w:t>
      </w:r>
      <w:r w:rsidRPr="00F411A4">
        <w:rPr>
          <w:rFonts w:ascii="Times New Roman" w:eastAsia="Times New Roman" w:hAnsi="Times New Roman" w:cs="Times New Roman"/>
          <w:color w:val="000000"/>
          <w:sz w:val="24"/>
          <w:szCs w:val="24"/>
        </w:rPr>
        <w:t xml:space="preserve">de locuri de muncă. factorii de multiplicare se aplică </w:t>
      </w:r>
      <w:r w:rsidRPr="00F411A4">
        <w:rPr>
          <w:rFonts w:ascii="Times New Roman" w:eastAsia="Times New Roman" w:hAnsi="Times New Roman" w:cs="Times New Roman"/>
          <w:sz w:val="24"/>
          <w:szCs w:val="24"/>
        </w:rPr>
        <w:t xml:space="preserve">la coeficienții de salarizare stabiliți pentru categoriile de unități, </w:t>
      </w:r>
      <w:r w:rsidRPr="00F411A4">
        <w:rPr>
          <w:rFonts w:ascii="Times New Roman" w:eastAsia="Times New Roman" w:hAnsi="Times New Roman" w:cs="Times New Roman"/>
          <w:color w:val="000000"/>
          <w:sz w:val="24"/>
          <w:szCs w:val="24"/>
        </w:rPr>
        <w:t xml:space="preserve">după cum urmează: </w:t>
      </w:r>
    </w:p>
    <w:p w14:paraId="201A4E09"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a)Grupa I: minim 8%;</w:t>
      </w:r>
    </w:p>
    <w:p w14:paraId="2C30782D"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b)Grupa a II-a: minim 6%;</w:t>
      </w:r>
    </w:p>
    <w:p w14:paraId="5A7F2612"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c)Grupa a III-a: minim 4%;</w:t>
      </w:r>
    </w:p>
    <w:p w14:paraId="5AE46491"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d)Grupa a IV-a: minim 2%. </w:t>
      </w:r>
    </w:p>
    <w:p w14:paraId="06F2FB53"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(2) Până la data de 31 decembrie 2027, factorii de multiplicare stabiliți se vor aplica la minimul stabilit prin lege.</w:t>
      </w:r>
    </w:p>
    <w:p w14:paraId="32A0612A"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(3) Prin derogare de la prevederile alin. (2), coeficienții de salarizare rezultați din stabilirea factorilor de multiplicare nu pot depăși cu mai mult de 10% coeficienții prevăzuți pentru categoria menționată la art. 10 alin. (1) lit. c).</w:t>
      </w:r>
    </w:p>
    <w:p w14:paraId="4DBC6312"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lastRenderedPageBreak/>
        <w:t>(4) Începând cu anul 2028, factorii de multiplicare prevăzuți la alin. (1) pot fi stabiliți astfel încât să nu conducă la o creștere mai mare de 15% a coeficienților de salarizare, raportați la coeficienții prevăzuți pentru categoria menționată la art. 10 alin. (1) lit. c).</w:t>
      </w:r>
    </w:p>
    <w:p w14:paraId="4F318912"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(5) Factorii de multiplicare prevăzuți la alin. (2) sunt stabiliți anual prin hotărâre de guvern, cu acordul sindicatelor reprezentative, în limita bugetului aprobat.</w:t>
      </w:r>
    </w:p>
    <w:p w14:paraId="3A646815"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(6)</w:t>
      </w:r>
      <w:r w:rsidRPr="00F411A4">
        <w:rPr>
          <w:rFonts w:ascii="Times New Roman" w:eastAsia="Times New Roman" w:hAnsi="Times New Roman" w:cs="Times New Roman"/>
          <w:sz w:val="14"/>
          <w:szCs w:val="14"/>
        </w:rPr>
        <w:t xml:space="preserve"> </w:t>
      </w:r>
      <w:r w:rsidRPr="00F411A4">
        <w:rPr>
          <w:rFonts w:ascii="Times New Roman" w:eastAsia="Times New Roman" w:hAnsi="Times New Roman" w:cs="Times New Roman"/>
          <w:sz w:val="24"/>
          <w:szCs w:val="24"/>
        </w:rPr>
        <w:t xml:space="preserve">Repartiția locurilor de muncă pe categoriile menționate la alin. (2) se face după cum urmează: </w:t>
      </w:r>
    </w:p>
    <w:p w14:paraId="38F9C0BA"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a)Grupa I: secțiile/compartimentele de Anestezie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terapie intensivă – ATI </w:t>
      </w:r>
      <w:r w:rsidRPr="00F411A4">
        <w:rPr>
          <w:rFonts w:ascii="Times New Roman" w:eastAsia="Times New Roman" w:hAnsi="Times New Roman" w:cs="Times New Roman"/>
          <w:strike/>
          <w:sz w:val="24"/>
          <w:szCs w:val="24"/>
        </w:rPr>
        <w:t xml:space="preserve">, </w:t>
      </w:r>
      <w:r w:rsidRPr="00F411A4">
        <w:rPr>
          <w:rFonts w:ascii="Times New Roman" w:eastAsia="Times New Roman" w:hAnsi="Times New Roman" w:cs="Times New Roman"/>
          <w:sz w:val="24"/>
          <w:szCs w:val="24"/>
        </w:rPr>
        <w:t>Urgență - UPU/CPU, serviciile de ambulanță, anatomie patologică, medicină legală.</w:t>
      </w:r>
    </w:p>
    <w:p w14:paraId="606363E7"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b)Grupa a II-a: secțiile/compartimentele de Cardiologie, Cardiologie pediatrică, Gastroenterologie, Gastroenterologie pediatrică, Oncologie medicală, </w:t>
      </w:r>
      <w:proofErr w:type="spellStart"/>
      <w:r w:rsidRPr="00F411A4">
        <w:rPr>
          <w:rFonts w:ascii="Times New Roman" w:eastAsia="Times New Roman" w:hAnsi="Times New Roman" w:cs="Times New Roman"/>
          <w:sz w:val="24"/>
          <w:szCs w:val="24"/>
        </w:rPr>
        <w:t>Oncopediatrie</w:t>
      </w:r>
      <w:proofErr w:type="spellEnd"/>
      <w:r w:rsidRPr="00F411A4">
        <w:rPr>
          <w:rFonts w:ascii="Times New Roman" w:eastAsia="Times New Roman" w:hAnsi="Times New Roman" w:cs="Times New Roman"/>
          <w:sz w:val="24"/>
          <w:szCs w:val="24"/>
        </w:rPr>
        <w:t xml:space="preserve">, Hematologie copii, Chirurgie generală, Chirurgie pediatrică, Chirurgie oncologică, Chirurgie cardiovasculară, Chirurgie cardiaca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a vaselor mari, Chirurgie plastică</w:t>
      </w:r>
      <w:r w:rsidRPr="00F411A4">
        <w:rPr>
          <w:rFonts w:ascii="Times New Roman" w:eastAsia="Times New Roman" w:hAnsi="Times New Roman" w:cs="Times New Roman"/>
          <w:sz w:val="14"/>
          <w:szCs w:val="14"/>
        </w:rPr>
        <w:t xml:space="preserve">, </w:t>
      </w:r>
      <w:r w:rsidRPr="00F411A4">
        <w:rPr>
          <w:rFonts w:ascii="Times New Roman" w:eastAsia="Times New Roman" w:hAnsi="Times New Roman" w:cs="Times New Roman"/>
          <w:sz w:val="24"/>
          <w:szCs w:val="24"/>
        </w:rPr>
        <w:t xml:space="preserve">estetică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microchirurgie reconstructivă, Arși, Neurochirurgie, Ortopedie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traumatologie, Ortopedie pediatrică, Blocul operator, Urologie, Urologie pediatrica, Chirurgie toracică, Chirurgie vasculară, Obstetrică-ginecologie, Transplant, Radioterapie, Hematologie, Hematologie copii</w:t>
      </w:r>
    </w:p>
    <w:p w14:paraId="5FFC87EE" w14:textId="77777777" w:rsidR="00F411A4" w:rsidRPr="00F411A4" w:rsidRDefault="00F411A4" w:rsidP="00F411A4">
      <w:pPr>
        <w:numPr>
          <w:ilvl w:val="0"/>
          <w:numId w:val="3"/>
        </w:numPr>
        <w:spacing w:after="0"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c)Grupa a III-a: secțiile/compartimentele de Chirurgie stomatologică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maxilo-facială, Otorinolaringologie, Otorinolaringologie copii, Otorinolaringologie implant </w:t>
      </w:r>
      <w:proofErr w:type="spellStart"/>
      <w:r w:rsidRPr="00F411A4">
        <w:rPr>
          <w:rFonts w:ascii="Times New Roman" w:eastAsia="Times New Roman" w:hAnsi="Times New Roman" w:cs="Times New Roman"/>
          <w:sz w:val="24"/>
          <w:szCs w:val="24"/>
        </w:rPr>
        <w:t>cohlear</w:t>
      </w:r>
      <w:proofErr w:type="spellEnd"/>
      <w:r w:rsidRPr="00F411A4">
        <w:rPr>
          <w:rFonts w:ascii="Times New Roman" w:eastAsia="Times New Roman" w:hAnsi="Times New Roman" w:cs="Times New Roman"/>
          <w:sz w:val="24"/>
          <w:szCs w:val="24"/>
        </w:rPr>
        <w:t xml:space="preserve">,  Oftalmologie, Oftalmologie copii, Sterilizare, Radiologie-imagistică medicală, Boli infecțioase, Boli infecțioase copii, Geriatrie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gerontologie, Medicină internă, Medicină fizică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de reabilitare, Nefrologie, Nefrologie copii, Neonatologie, Neurologie, Neurologie pediatrică, Pediatrie, Pneumologie, Pneumologie copii, </w:t>
      </w:r>
      <w:proofErr w:type="spellStart"/>
      <w:r w:rsidRPr="00F411A4">
        <w:rPr>
          <w:rFonts w:ascii="Times New Roman" w:eastAsia="Times New Roman" w:hAnsi="Times New Roman" w:cs="Times New Roman"/>
          <w:sz w:val="24"/>
          <w:szCs w:val="24"/>
        </w:rPr>
        <w:t>Pneumoftiziologie</w:t>
      </w:r>
      <w:proofErr w:type="spellEnd"/>
      <w:r w:rsidRPr="00F411A4">
        <w:rPr>
          <w:rFonts w:ascii="Times New Roman" w:eastAsia="Times New Roman" w:hAnsi="Times New Roman" w:cs="Times New Roman"/>
          <w:sz w:val="24"/>
          <w:szCs w:val="24"/>
        </w:rPr>
        <w:t xml:space="preserve">, </w:t>
      </w:r>
      <w:proofErr w:type="spellStart"/>
      <w:r w:rsidRPr="00F411A4">
        <w:rPr>
          <w:rFonts w:ascii="Times New Roman" w:eastAsia="Times New Roman" w:hAnsi="Times New Roman" w:cs="Times New Roman"/>
          <w:sz w:val="24"/>
          <w:szCs w:val="24"/>
        </w:rPr>
        <w:t>Pneumoftiziologie</w:t>
      </w:r>
      <w:proofErr w:type="spellEnd"/>
      <w:r w:rsidRPr="00F411A4">
        <w:rPr>
          <w:rFonts w:ascii="Times New Roman" w:eastAsia="Times New Roman" w:hAnsi="Times New Roman" w:cs="Times New Roman"/>
          <w:sz w:val="24"/>
          <w:szCs w:val="24"/>
        </w:rPr>
        <w:t xml:space="preserve"> copii, TBC, Psihiatrie, Psihiatrie pediatrică, Reumatologie.</w:t>
      </w:r>
    </w:p>
    <w:p w14:paraId="75F7AEB1" w14:textId="77777777" w:rsidR="00F411A4" w:rsidRPr="00F411A4" w:rsidRDefault="00F411A4" w:rsidP="00F411A4">
      <w:pPr>
        <w:numPr>
          <w:ilvl w:val="0"/>
          <w:numId w:val="3"/>
        </w:numPr>
        <w:spacing w:line="240" w:lineRule="auto"/>
        <w:jc w:val="both"/>
        <w:rPr>
          <w:rFonts w:ascii="Times New Roman" w:eastAsia="Times New Roman" w:hAnsi="Times New Roman" w:cs="Times New Roman"/>
          <w:sz w:val="24"/>
          <w:szCs w:val="24"/>
        </w:rPr>
      </w:pPr>
      <w:r w:rsidRPr="00F411A4">
        <w:rPr>
          <w:rFonts w:ascii="Times New Roman" w:eastAsia="Times New Roman" w:hAnsi="Times New Roman" w:cs="Times New Roman"/>
          <w:sz w:val="24"/>
          <w:szCs w:val="24"/>
        </w:rPr>
        <w:t xml:space="preserve">d)Grupa a IV-a: secțiile/compartimentele de Imunologie clinică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alergologie, Imunologie clinica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alergologie copii, Dermatovenerologie,</w:t>
      </w:r>
      <w:r w:rsidRPr="00F411A4">
        <w:rPr>
          <w:rFonts w:ascii="Times New Roman" w:eastAsia="Times New Roman" w:hAnsi="Times New Roman" w:cs="Times New Roman"/>
          <w:sz w:val="14"/>
          <w:szCs w:val="14"/>
        </w:rPr>
        <w:t xml:space="preserve"> </w:t>
      </w:r>
      <w:r w:rsidRPr="00F411A4">
        <w:rPr>
          <w:rFonts w:ascii="Times New Roman" w:eastAsia="Times New Roman" w:hAnsi="Times New Roman" w:cs="Times New Roman"/>
          <w:sz w:val="24"/>
          <w:szCs w:val="24"/>
        </w:rPr>
        <w:t xml:space="preserve">Dermatovenerologie copii, Diabet zaharat, nutriție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boli metabolice, Diabet zaharat, nutriție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boli metabolice copii, Endocrinologie, Endocrinologie copii, Expertiza medicală a capacității de muncă, Farmacologie clinică, Genetică medicală, Medicina muncii, Medicină sportivă, Epidemiologie, Igienă, Laboratoare de analize medicale, Medicină nucleară, Microbiologie, Sănătate publică </w:t>
      </w:r>
      <w:proofErr w:type="spellStart"/>
      <w:r w:rsidRPr="00F411A4">
        <w:rPr>
          <w:rFonts w:ascii="Times New Roman" w:eastAsia="Times New Roman" w:hAnsi="Times New Roman" w:cs="Times New Roman"/>
          <w:sz w:val="24"/>
          <w:szCs w:val="24"/>
        </w:rPr>
        <w:t>şi</w:t>
      </w:r>
      <w:proofErr w:type="spellEnd"/>
      <w:r w:rsidRPr="00F411A4">
        <w:rPr>
          <w:rFonts w:ascii="Times New Roman" w:eastAsia="Times New Roman" w:hAnsi="Times New Roman" w:cs="Times New Roman"/>
          <w:sz w:val="24"/>
          <w:szCs w:val="24"/>
        </w:rPr>
        <w:t xml:space="preserve"> management.</w:t>
      </w:r>
    </w:p>
    <w:p w14:paraId="39F5B875" w14:textId="77777777" w:rsidR="00F411A4" w:rsidRPr="00F411A4" w:rsidRDefault="00F411A4" w:rsidP="00F411A4">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sidRPr="00F411A4">
        <w:rPr>
          <w:rFonts w:ascii="Times New Roman" w:eastAsia="Times New Roman" w:hAnsi="Times New Roman" w:cs="Times New Roman"/>
          <w:color w:val="000000"/>
          <w:sz w:val="24"/>
          <w:szCs w:val="24"/>
        </w:rPr>
        <w:t>(</w:t>
      </w:r>
      <w:r w:rsidRPr="00F411A4">
        <w:rPr>
          <w:rFonts w:ascii="Times New Roman" w:eastAsia="Times New Roman" w:hAnsi="Times New Roman" w:cs="Times New Roman"/>
          <w:sz w:val="24"/>
          <w:szCs w:val="24"/>
        </w:rPr>
        <w:t>7</w:t>
      </w:r>
      <w:r w:rsidRPr="00F411A4">
        <w:rPr>
          <w:rFonts w:ascii="Times New Roman" w:eastAsia="Times New Roman" w:hAnsi="Times New Roman" w:cs="Times New Roman"/>
          <w:color w:val="000000"/>
          <w:sz w:val="24"/>
          <w:szCs w:val="24"/>
        </w:rPr>
        <w:t xml:space="preserve">) Pentru locurile de muncă ce nu sunt </w:t>
      </w:r>
      <w:r w:rsidRPr="00F411A4">
        <w:rPr>
          <w:rFonts w:ascii="Times New Roman" w:eastAsia="Times New Roman" w:hAnsi="Times New Roman" w:cs="Times New Roman"/>
          <w:sz w:val="24"/>
          <w:szCs w:val="24"/>
        </w:rPr>
        <w:t xml:space="preserve">menționate explicit în  grupele prevăzute </w:t>
      </w:r>
      <w:r w:rsidRPr="00F411A4">
        <w:rPr>
          <w:rFonts w:ascii="Times New Roman" w:eastAsia="Times New Roman" w:hAnsi="Times New Roman" w:cs="Times New Roman"/>
          <w:color w:val="000000"/>
          <w:sz w:val="24"/>
          <w:szCs w:val="24"/>
        </w:rPr>
        <w:t>la alin. (</w:t>
      </w:r>
      <w:r w:rsidRPr="00F411A4">
        <w:rPr>
          <w:rFonts w:ascii="Times New Roman" w:eastAsia="Times New Roman" w:hAnsi="Times New Roman" w:cs="Times New Roman"/>
          <w:sz w:val="24"/>
          <w:szCs w:val="24"/>
        </w:rPr>
        <w:t>6</w:t>
      </w:r>
      <w:r w:rsidRPr="00F411A4">
        <w:rPr>
          <w:rFonts w:ascii="Times New Roman" w:eastAsia="Times New Roman" w:hAnsi="Times New Roman" w:cs="Times New Roman"/>
          <w:color w:val="000000"/>
          <w:sz w:val="24"/>
          <w:szCs w:val="24"/>
        </w:rPr>
        <w:t xml:space="preserve">) se acordă coeficienții stabiliți </w:t>
      </w:r>
      <w:r w:rsidRPr="00F411A4">
        <w:rPr>
          <w:rFonts w:ascii="Times New Roman" w:eastAsia="Times New Roman" w:hAnsi="Times New Roman" w:cs="Times New Roman"/>
          <w:sz w:val="24"/>
          <w:szCs w:val="24"/>
        </w:rPr>
        <w:t>pentru categoriile de unități sanitare, conform art. 10</w:t>
      </w:r>
      <w:r w:rsidRPr="00F411A4">
        <w:rPr>
          <w:rFonts w:ascii="Times New Roman" w:eastAsia="Times New Roman" w:hAnsi="Times New Roman" w:cs="Times New Roman"/>
          <w:color w:val="000000"/>
          <w:sz w:val="24"/>
          <w:szCs w:val="24"/>
        </w:rPr>
        <w:t xml:space="preserve">. </w:t>
      </w:r>
    </w:p>
    <w:p w14:paraId="6E0A8EDD" w14:textId="37B15E86" w:rsidR="00F411A4" w:rsidRPr="00F411A4" w:rsidRDefault="00F411A4" w:rsidP="00F411A4">
      <w:pPr>
        <w:spacing w:before="120" w:after="120" w:line="240" w:lineRule="auto"/>
        <w:jc w:val="both"/>
        <w:rPr>
          <w:rFonts w:ascii="Times New Roman" w:eastAsia="Times New Roman" w:hAnsi="Times New Roman" w:cs="Times New Roman"/>
          <w:noProof/>
          <w:sz w:val="24"/>
          <w:szCs w:val="24"/>
        </w:rPr>
      </w:pPr>
      <w:r>
        <w:rPr>
          <w:rFonts w:ascii="Times New Roman" w:eastAsia="Times New Roman" w:hAnsi="Times New Roman" w:cs="Times New Roman"/>
          <w:noProof/>
          <w:sz w:val="24"/>
          <w:szCs w:val="24"/>
        </w:rPr>
        <w:t>Art.12</w:t>
      </w:r>
    </w:p>
    <w:p w14:paraId="00000074" w14:textId="41630452" w:rsidR="00373A89" w:rsidRPr="00F411A4" w:rsidRDefault="0070234E">
      <w:pPr>
        <w:spacing w:before="120" w:after="12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(1) Personalul din cadrul unităților sanitare finanțate integral din venituri proprii, din contactele încheiate prin sistemul de asigurări sociale de sănătate, indiferent de subordonare, care nu ocupă una din funcțiile prevăzute la anexa nr. II la prezenta lege, se salarizează potrivit anexei nr. VII la prezenta lege, la nivelul prevăzut la cap. I, pct. 1 „Coeficienții de salarizare pentru personalul din autoritățile și instituțiile publice finanțate integral din venituri proprii, aflate în subordinea, sub autoritatea sau în coordonarea Guvernului, ministerelor și a celorlalte organe de specialitate ale administrației publice centrale, din cele aflate în coordonarea prim-ministrului, precum și din cele aflate sub controlul Parlamentului”, diferențiați pe nivelul de studii</w:t>
      </w:r>
      <w:r w:rsidR="0051621B">
        <w:rPr>
          <w:rFonts w:ascii="Times New Roman" w:eastAsia="Times New Roman" w:hAnsi="Times New Roman" w:cs="Times New Roman"/>
          <w:noProof/>
          <w:sz w:val="24"/>
          <w:szCs w:val="24"/>
          <w:lang w:val="ro-RO"/>
        </w:rPr>
        <w:t>.</w:t>
      </w:r>
      <w:r w:rsidRPr="00F411A4">
        <w:rPr>
          <w:rFonts w:ascii="Times New Roman" w:eastAsia="Times New Roman" w:hAnsi="Times New Roman" w:cs="Times New Roman"/>
          <w:noProof/>
          <w:sz w:val="24"/>
          <w:szCs w:val="24"/>
          <w:lang w:val="ro-RO"/>
        </w:rPr>
        <w:t xml:space="preserve"> </w:t>
      </w:r>
    </w:p>
    <w:p w14:paraId="00000075" w14:textId="77777777" w:rsidR="00373A89" w:rsidRPr="00F411A4" w:rsidRDefault="0070234E">
      <w:pPr>
        <w:spacing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(2) Personalul din cadrul serviciilor publice de ambulanță care nu ocupă una dintre funcțiile prevăzute în anexa nr. II beneficiază de nivelul de salarizare prevăzut în anexa nr. VIII, cap. II, lit. A „Salarizarea personalului contractual din administrația publică centrală de specialitate, serviciile deconcentrate ale ministerelor și ale altor organe centrale de specialitate, prefecturi, consilii județene, municipii, administrația publică locală – consilii, primării și serviciile publice din subordinea acestora”, pct. 1 „Coeficienți de salarizare pentru administrația publică centrală”.</w:t>
      </w:r>
    </w:p>
    <w:p w14:paraId="00000076" w14:textId="77777777" w:rsidR="00373A89" w:rsidRPr="00F411A4" w:rsidRDefault="00373A89">
      <w:pPr>
        <w:spacing w:after="0" w:line="240" w:lineRule="auto"/>
        <w:jc w:val="both"/>
        <w:rPr>
          <w:rFonts w:ascii="Times New Roman" w:eastAsia="Times New Roman" w:hAnsi="Times New Roman" w:cs="Times New Roman"/>
          <w:noProof/>
          <w:sz w:val="24"/>
          <w:szCs w:val="24"/>
          <w:lang w:val="ro-RO"/>
        </w:rPr>
      </w:pPr>
    </w:p>
    <w:p w14:paraId="00000077" w14:textId="703521EA"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 1</w:t>
      </w:r>
      <w:r w:rsidR="0051621B">
        <w:rPr>
          <w:rFonts w:ascii="Times New Roman" w:eastAsia="Times New Roman" w:hAnsi="Times New Roman" w:cs="Times New Roman"/>
          <w:noProof/>
          <w:sz w:val="24"/>
          <w:szCs w:val="24"/>
          <w:lang w:val="ro-RO"/>
        </w:rPr>
        <w:t>3</w:t>
      </w:r>
    </w:p>
    <w:p w14:paraId="00000078"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(1) În unităţile de asistenţă socială/centre cu sau fără cazare, în raport cu condiţiile în care se desfăşoară activitatea, pot fi acordate, cu respectarea prevederilor legale, următoarele categorii de sporuri:</w:t>
      </w:r>
    </w:p>
    <w:p w14:paraId="00000079"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 pentru condiţii deosebit de periculoase, personalul care îşi desfăşoară activitatea în centrele de recuperare şi reabilitare neuropsihiatrică/alte centre rezidenţiale pentru persoane cu afecţiuni neuropsihiatrice, în module de reabilitare comportamentală, precum şi personalul din unităţile de asistenţă socială în care sunt îngrijiţi bolnavii cu TBC, SIDA sau cu nevoi de recuperare neuromotorie, neuropsihomotorie, neuromusculară şi neurologic, un spor de până la 40% din salariul de bază, corespunzător timpului lucrat la locurile de muncă respective;</w:t>
      </w:r>
    </w:p>
    <w:p w14:paraId="0000007A"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b) pentru condiţii grele de muncă, un spor de 5% din salariul de bază, corespunzător timpului lucrat la locurile de muncă respective;</w:t>
      </w:r>
    </w:p>
    <w:p w14:paraId="0000007B"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c) pentru personalul care lucrează în unităţi de asistenţă socială aflate în localităţi izolate, situate la altitudine, care au căi de acces dificile sau unde atragerea personalului se face cu greutate, un spor de până la 15% din salariul de bază;</w:t>
      </w:r>
    </w:p>
    <w:p w14:paraId="0000007C"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d) pentru al II-lea copil dat în plasament, asistenţii maternali profesionişti pot beneficia de un spor de până la 10% din salariul de bază;</w:t>
      </w:r>
    </w:p>
    <w:p w14:paraId="0000007D"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e) pentru asigurarea continuităţii în muncă, asistenţii maternali profesionişti pot beneficia de un spor de până la 5% din salariul de bază.</w:t>
      </w:r>
    </w:p>
    <w:p w14:paraId="0000007E"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(2) Cuantumul sporului prevăzut la alin. (1) lit.c) nu se ia în calcul la determinarea limitei prevăzute la art. 21 alin.(2) din prezenta lege.</w:t>
      </w:r>
    </w:p>
    <w:p w14:paraId="0000007F" w14:textId="77777777" w:rsidR="00373A89" w:rsidRPr="00F411A4" w:rsidRDefault="0070234E">
      <w:pPr>
        <w:spacing w:after="0" w:line="240" w:lineRule="auto"/>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(3) Locurile de muncă, categoriile de personal, mărimea concretă a sporului, precum şi condiţiile de acordare a acestuia se stabilesc de către ordonatorul de credite, cu consultarea sindicatelor sau, după caz, a reprezentanţilor salariaţilor, în limita prevederilor din regulamentul elaborat potrivit prezentei legi, având la bază buletinele de determinare sau, după caz, expertizare, emise de către autorităţile abilitate în acest sens.</w:t>
      </w:r>
    </w:p>
    <w:p w14:paraId="00000080" w14:textId="77777777" w:rsidR="00373A89" w:rsidRPr="00F411A4" w:rsidRDefault="00373A89">
      <w:pPr>
        <w:jc w:val="both"/>
        <w:rPr>
          <w:rFonts w:ascii="Times New Roman" w:eastAsia="Times New Roman" w:hAnsi="Times New Roman" w:cs="Times New Roman"/>
          <w:noProof/>
          <w:sz w:val="24"/>
          <w:szCs w:val="24"/>
          <w:lang w:val="ro-RO"/>
        </w:rPr>
      </w:pPr>
    </w:p>
    <w:p w14:paraId="00000081" w14:textId="574373FE" w:rsidR="00373A89" w:rsidRPr="00F411A4" w:rsidRDefault="0070234E">
      <w:pPr>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ART.1</w:t>
      </w:r>
      <w:r w:rsidR="0051621B">
        <w:rPr>
          <w:rFonts w:ascii="Times New Roman" w:eastAsia="Times New Roman" w:hAnsi="Times New Roman" w:cs="Times New Roman"/>
          <w:noProof/>
          <w:sz w:val="24"/>
          <w:szCs w:val="24"/>
          <w:lang w:val="ro-RO"/>
        </w:rPr>
        <w:t>4</w:t>
      </w:r>
    </w:p>
    <w:p w14:paraId="00000082" w14:textId="3E4432B3" w:rsidR="00373A89" w:rsidRPr="00F411A4" w:rsidRDefault="0070234E">
      <w:pPr>
        <w:jc w:val="both"/>
        <w:rPr>
          <w:rFonts w:ascii="Times New Roman" w:eastAsia="Times New Roman" w:hAnsi="Times New Roman" w:cs="Times New Roman"/>
          <w:noProof/>
          <w:sz w:val="24"/>
          <w:szCs w:val="24"/>
          <w:lang w:val="ro-RO"/>
        </w:rPr>
      </w:pPr>
      <w:r w:rsidRPr="00F411A4">
        <w:rPr>
          <w:rFonts w:ascii="Times New Roman" w:eastAsia="Times New Roman" w:hAnsi="Times New Roman" w:cs="Times New Roman"/>
          <w:noProof/>
          <w:sz w:val="24"/>
          <w:szCs w:val="24"/>
          <w:lang w:val="ro-RO"/>
        </w:rPr>
        <w:t>Personalul din unitățile sanitare publice încadrat potrivit prezentei anexe poate beneficia de un spor de până la 30% la salariul de bază deţinut, pentru anumite activităţi cu caracter excepțional. Sumele pentru aceste salarii se vor plăti exclusiv din sursele prevăzute la art.193 alin.(7) din Legea nr.95/2006. Încadrarea între limite se face anual, pe baza criteriilor aprobate de consiliile de administrație.</w:t>
      </w:r>
    </w:p>
    <w:p w14:paraId="00000083" w14:textId="77777777" w:rsidR="00373A89" w:rsidRPr="00F411A4" w:rsidRDefault="00373A89">
      <w:pPr>
        <w:jc w:val="both"/>
        <w:rPr>
          <w:rFonts w:ascii="Times New Roman" w:eastAsia="Times New Roman" w:hAnsi="Times New Roman" w:cs="Times New Roman"/>
          <w:noProof/>
          <w:sz w:val="24"/>
          <w:szCs w:val="24"/>
          <w:lang w:val="ro-RO"/>
        </w:rPr>
      </w:pPr>
    </w:p>
    <w:sectPr w:rsidR="00373A89" w:rsidRPr="00F411A4">
      <w:pgSz w:w="11906" w:h="16838"/>
      <w:pgMar w:top="1440" w:right="1440" w:bottom="1440" w:left="1440" w:header="720" w:footer="720"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embedRegular r:id="rId1" w:fontKey="{78019853-065D-451F-B648-7F8EB69BDBAB}"/>
    <w:embedBold r:id="rId2" w:fontKey="{3CE21A24-71C7-49B1-A4CE-718242D0F26F}"/>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9AD0F9C8-580F-4402-B7EC-EC1C5C9D8338}"/>
  </w:font>
  <w:font w:name="Calibri Light">
    <w:panose1 w:val="020F0302020204030204"/>
    <w:charset w:val="EE"/>
    <w:family w:val="swiss"/>
    <w:pitch w:val="variable"/>
    <w:sig w:usb0="E4002EFF" w:usb1="C200247B" w:usb2="00000009" w:usb3="00000000" w:csb0="000001FF" w:csb1="00000000"/>
    <w:embedRegular r:id="rId4" w:fontKey="{5226A990-6F65-4220-8A31-C2E0E50C046C}"/>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926945"/>
    <w:multiLevelType w:val="multilevel"/>
    <w:tmpl w:val="89CE1F3C"/>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17FD057C"/>
    <w:multiLevelType w:val="multilevel"/>
    <w:tmpl w:val="219A76A2"/>
    <w:lvl w:ilvl="0">
      <w:start w:val="1"/>
      <w:numFmt w:val="decimal"/>
      <w:lvlText w:val="(%1)"/>
      <w:lvlJc w:val="left"/>
      <w:pPr>
        <w:ind w:left="600" w:hanging="360"/>
      </w:pPr>
    </w:lvl>
    <w:lvl w:ilvl="1">
      <w:start w:val="1"/>
      <w:numFmt w:val="lowerLetter"/>
      <w:lvlText w:val="%2."/>
      <w:lvlJc w:val="left"/>
      <w:pPr>
        <w:ind w:left="1320" w:hanging="360"/>
      </w:pPr>
    </w:lvl>
    <w:lvl w:ilvl="2">
      <w:start w:val="1"/>
      <w:numFmt w:val="lowerRoman"/>
      <w:lvlText w:val="%3."/>
      <w:lvlJc w:val="right"/>
      <w:pPr>
        <w:ind w:left="2040" w:hanging="180"/>
      </w:pPr>
    </w:lvl>
    <w:lvl w:ilvl="3">
      <w:start w:val="1"/>
      <w:numFmt w:val="decimal"/>
      <w:lvlText w:val="%4."/>
      <w:lvlJc w:val="left"/>
      <w:pPr>
        <w:ind w:left="2760" w:hanging="360"/>
      </w:pPr>
    </w:lvl>
    <w:lvl w:ilvl="4">
      <w:start w:val="1"/>
      <w:numFmt w:val="lowerLetter"/>
      <w:lvlText w:val="%5."/>
      <w:lvlJc w:val="left"/>
      <w:pPr>
        <w:ind w:left="3480" w:hanging="360"/>
      </w:pPr>
    </w:lvl>
    <w:lvl w:ilvl="5">
      <w:start w:val="1"/>
      <w:numFmt w:val="lowerRoman"/>
      <w:lvlText w:val="%6."/>
      <w:lvlJc w:val="right"/>
      <w:pPr>
        <w:ind w:left="4200" w:hanging="180"/>
      </w:pPr>
    </w:lvl>
    <w:lvl w:ilvl="6">
      <w:start w:val="1"/>
      <w:numFmt w:val="decimal"/>
      <w:lvlText w:val="%7."/>
      <w:lvlJc w:val="left"/>
      <w:pPr>
        <w:ind w:left="4920" w:hanging="360"/>
      </w:pPr>
    </w:lvl>
    <w:lvl w:ilvl="7">
      <w:start w:val="1"/>
      <w:numFmt w:val="lowerLetter"/>
      <w:lvlText w:val="%8."/>
      <w:lvlJc w:val="left"/>
      <w:pPr>
        <w:ind w:left="5640" w:hanging="360"/>
      </w:pPr>
    </w:lvl>
    <w:lvl w:ilvl="8">
      <w:start w:val="1"/>
      <w:numFmt w:val="lowerRoman"/>
      <w:lvlText w:val="%9."/>
      <w:lvlJc w:val="right"/>
      <w:pPr>
        <w:ind w:left="6360" w:hanging="180"/>
      </w:pPr>
    </w:lvl>
  </w:abstractNum>
  <w:abstractNum w:abstractNumId="2" w15:restartNumberingAfterBreak="0">
    <w:nsid w:val="3F734D71"/>
    <w:multiLevelType w:val="multilevel"/>
    <w:tmpl w:val="7FECE8DE"/>
    <w:lvl w:ilvl="0">
      <w:start w:val="1"/>
      <w:numFmt w:val="lowerLetter"/>
      <w:lvlText w:val=""/>
      <w:lvlJc w:val="left"/>
      <w:pPr>
        <w:ind w:left="0" w:firstLine="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16cid:durableId="1919553512">
    <w:abstractNumId w:val="1"/>
  </w:num>
  <w:num w:numId="2" w16cid:durableId="1169060494">
    <w:abstractNumId w:val="0"/>
  </w:num>
  <w:num w:numId="3" w16cid:durableId="4024567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A89"/>
    <w:rsid w:val="00373A89"/>
    <w:rsid w:val="00413206"/>
    <w:rsid w:val="0051621B"/>
    <w:rsid w:val="0070234E"/>
    <w:rsid w:val="00871889"/>
    <w:rsid w:val="00CA35C2"/>
    <w:rsid w:val="00F411A4"/>
    <w:rsid w:val="00FB25BB"/>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AE5745"/>
  <w15:docId w15:val="{A7179F28-3493-4277-97EC-B6CCE29982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o" w:eastAsia="ro-R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ListParagraph">
    <w:name w:val="List Paragraph"/>
    <w:basedOn w:val="Normal"/>
    <w:uiPriority w:val="34"/>
    <w:qFormat/>
    <w:pPr>
      <w:ind w:left="720"/>
      <w:contextualSpacing/>
    </w:pPr>
  </w:style>
  <w:style w:type="paragraph" w:customStyle="1" w:styleId="Default">
    <w:name w:val="Default"/>
    <w:rsid w:val="00AD6756"/>
    <w:pPr>
      <w:autoSpaceDE w:val="0"/>
      <w:autoSpaceDN w:val="0"/>
      <w:adjustRightInd w:val="0"/>
    </w:pPr>
    <w:rPr>
      <w:rFonts w:ascii="Times New Roman" w:hAnsi="Times New Roman" w:cs="Times New Roman"/>
      <w:color w:val="000000"/>
      <w:sz w:val="24"/>
      <w:szCs w:val="24"/>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l1lmPtp2R5TGWorvs01+dKhIkw==">CgMxLjAyDmgubW52Mnp2N20xMWJiMg1oLjRsNHhvZ2F2czRqOAByITFESzh6WVdFRE93TmRxOEJ4a3RETDZmYzJaNWhLSlhuQQ==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B398DD9C-F971-4863-9E03-5C5E6A794B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3654</Words>
  <Characters>20833</Characters>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2026-08-20T07:21:00Z</dcterms:created>
  <dcterms:modified xsi:type="dcterms:W3CDTF">2026-08-20T07:21:00Z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eyJoZGlkIjoiMzkyOTBmNDIxYmJkMWM4ODg4YzUyOGJjOTkzMmEyYmEifQ==</vt:lpwstr>
  </property>
  <property fmtid="{D5CDD505-2E9C-101B-9397-08002B2CF9AE}" pid="3" name="KSOProductBuildVer">
    <vt:lpwstr>1033-12.1.0.26880</vt:lpwstr>
  </property>
  <property fmtid="{D5CDD505-2E9C-101B-9397-08002B2CF9AE}" pid="4" name="ICV">
    <vt:lpwstr>223498370DE4441DA89BDCCE16C49C12_12</vt:lpwstr>
  </property>
</Properties>
</file>