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5862D" w14:textId="77777777" w:rsidR="00270B86" w:rsidRPr="00E511DF" w:rsidRDefault="00FD0BB7" w:rsidP="00513827">
      <w:pPr>
        <w:spacing w:before="60" w:after="0" w:line="264" w:lineRule="auto"/>
        <w:contextualSpacing/>
        <w:jc w:val="center"/>
        <w:rPr>
          <w:rFonts w:ascii="Trebuchet MS" w:hAnsi="Trebuchet MS"/>
          <w:b/>
        </w:rPr>
      </w:pPr>
      <w:r w:rsidRPr="00E511DF">
        <w:rPr>
          <w:rFonts w:ascii="Trebuchet MS" w:hAnsi="Trebuchet MS"/>
          <w:b/>
        </w:rPr>
        <w:t>LEGE</w:t>
      </w:r>
    </w:p>
    <w:p w14:paraId="65395073" w14:textId="5F0B647B" w:rsidR="00FD0BB7" w:rsidRPr="00E511DF" w:rsidRDefault="00FD0BB7" w:rsidP="00513827">
      <w:pPr>
        <w:spacing w:before="60" w:after="0" w:line="264" w:lineRule="auto"/>
        <w:contextualSpacing/>
        <w:jc w:val="center"/>
        <w:rPr>
          <w:rFonts w:ascii="Trebuchet MS" w:hAnsi="Trebuchet MS"/>
          <w:b/>
        </w:rPr>
      </w:pPr>
      <w:r w:rsidRPr="00E511DF">
        <w:rPr>
          <w:rFonts w:ascii="Trebuchet MS" w:hAnsi="Trebuchet MS"/>
          <w:b/>
        </w:rPr>
        <w:t>privind desființarea Secției pentru Investigarea Infracțiunilor din Justiție</w:t>
      </w:r>
      <w:r w:rsidR="00CC6993" w:rsidRPr="00E511DF">
        <w:rPr>
          <w:rFonts w:ascii="Trebuchet MS" w:hAnsi="Trebuchet MS"/>
          <w:b/>
        </w:rPr>
        <w:t xml:space="preserve">, precum și pentru modificarea </w:t>
      </w:r>
      <w:r w:rsidR="00421B66" w:rsidRPr="00E511DF">
        <w:rPr>
          <w:rFonts w:ascii="Trebuchet MS" w:hAnsi="Trebuchet MS"/>
          <w:b/>
        </w:rPr>
        <w:t xml:space="preserve">și completarea </w:t>
      </w:r>
      <w:r w:rsidR="00CC6993" w:rsidRPr="00E511DF">
        <w:rPr>
          <w:rFonts w:ascii="Trebuchet MS" w:hAnsi="Trebuchet MS"/>
          <w:b/>
        </w:rPr>
        <w:t>unor acte normative în domeniul justiției</w:t>
      </w:r>
    </w:p>
    <w:p w14:paraId="62D03F64" w14:textId="77777777" w:rsidR="00FD0BB7" w:rsidRPr="00E511DF" w:rsidRDefault="00FD0BB7" w:rsidP="00513827">
      <w:pPr>
        <w:spacing w:before="60" w:after="0" w:line="264" w:lineRule="auto"/>
        <w:contextualSpacing/>
        <w:jc w:val="center"/>
        <w:rPr>
          <w:rFonts w:ascii="Trebuchet MS" w:hAnsi="Trebuchet MS"/>
          <w:b/>
        </w:rPr>
      </w:pPr>
    </w:p>
    <w:p w14:paraId="7156BD84" w14:textId="77777777" w:rsidR="00CC6993" w:rsidRPr="00E511DF" w:rsidRDefault="00CC6993" w:rsidP="00513827">
      <w:pPr>
        <w:spacing w:before="60" w:after="0" w:line="264" w:lineRule="auto"/>
        <w:contextualSpacing/>
        <w:jc w:val="center"/>
        <w:rPr>
          <w:rFonts w:ascii="Trebuchet MS" w:hAnsi="Trebuchet MS"/>
          <w:b/>
        </w:rPr>
      </w:pPr>
    </w:p>
    <w:p w14:paraId="6A1CC394" w14:textId="77777777" w:rsidR="00FD0BB7" w:rsidRPr="00E511DF" w:rsidRDefault="00FD0BB7" w:rsidP="00513827">
      <w:pPr>
        <w:spacing w:before="60" w:after="0" w:line="264" w:lineRule="auto"/>
        <w:contextualSpacing/>
        <w:rPr>
          <w:rFonts w:ascii="Trebuchet MS" w:hAnsi="Trebuchet MS"/>
          <w:b/>
        </w:rPr>
      </w:pPr>
      <w:r w:rsidRPr="00E511DF">
        <w:rPr>
          <w:rFonts w:ascii="Trebuchet MS" w:hAnsi="Trebuchet MS"/>
          <w:b/>
        </w:rPr>
        <w:t>Parlamentul României adoptă prezenta lege:</w:t>
      </w:r>
    </w:p>
    <w:p w14:paraId="6C880650" w14:textId="77777777" w:rsidR="00FD0BB7" w:rsidRPr="00E511DF" w:rsidRDefault="00FD0BB7" w:rsidP="00513827">
      <w:pPr>
        <w:spacing w:before="60" w:after="0" w:line="264" w:lineRule="auto"/>
        <w:contextualSpacing/>
        <w:rPr>
          <w:rFonts w:ascii="Trebuchet MS" w:hAnsi="Trebuchet MS"/>
          <w:b/>
        </w:rPr>
      </w:pPr>
    </w:p>
    <w:p w14:paraId="49B95ED3" w14:textId="77777777" w:rsidR="00D864B2" w:rsidRPr="00E511DF" w:rsidRDefault="00D864B2" w:rsidP="00513827">
      <w:pPr>
        <w:spacing w:before="60" w:after="0" w:line="264" w:lineRule="auto"/>
        <w:jc w:val="both"/>
        <w:rPr>
          <w:rFonts w:ascii="Trebuchet MS" w:hAnsi="Trebuchet MS"/>
        </w:rPr>
      </w:pPr>
      <w:r w:rsidRPr="00E511DF">
        <w:rPr>
          <w:rFonts w:ascii="Trebuchet MS" w:hAnsi="Trebuchet MS"/>
          <w:b/>
        </w:rPr>
        <w:t>Art. 1</w:t>
      </w:r>
      <w:r w:rsidRPr="00E511DF">
        <w:rPr>
          <w:rFonts w:ascii="Trebuchet MS" w:hAnsi="Trebuchet MS"/>
        </w:rPr>
        <w:t xml:space="preserve"> – (1) La data intrării în vigoare a prezentei legi Secția pentru Investigarea Infracțiunilor din Justiție din cadrul Parchetului de pe lângă Înalta Curte de Casație și Justiție, denumită în continuare Secția, se desființează.</w:t>
      </w:r>
    </w:p>
    <w:p w14:paraId="6777AE26" w14:textId="150B1DB5" w:rsidR="00D864B2" w:rsidRPr="00E511DF" w:rsidRDefault="00D864B2" w:rsidP="00513827">
      <w:pPr>
        <w:spacing w:before="60" w:after="0" w:line="264" w:lineRule="auto"/>
        <w:jc w:val="both"/>
        <w:rPr>
          <w:rFonts w:ascii="Trebuchet MS" w:hAnsi="Trebuchet MS" w:cs="Times New Roman"/>
        </w:rPr>
      </w:pPr>
      <w:r w:rsidRPr="00E511DF">
        <w:rPr>
          <w:rFonts w:ascii="Trebuchet MS" w:hAnsi="Trebuchet MS"/>
        </w:rPr>
        <w:t xml:space="preserve">(2) </w:t>
      </w:r>
      <w:r w:rsidRPr="00E511DF">
        <w:rPr>
          <w:rFonts w:ascii="Trebuchet MS" w:hAnsi="Trebuchet MS" w:cs="Times New Roman"/>
        </w:rPr>
        <w:t xml:space="preserve">Cauzele aflate în curs de soluţionare la nivelul </w:t>
      </w:r>
      <w:r w:rsidRPr="00E511DF">
        <w:rPr>
          <w:rFonts w:ascii="Trebuchet MS" w:hAnsi="Trebuchet MS"/>
        </w:rPr>
        <w:t xml:space="preserve">Secției </w:t>
      </w:r>
      <w:r w:rsidR="0080764E" w:rsidRPr="00E511DF">
        <w:rPr>
          <w:rFonts w:ascii="Trebuchet MS" w:hAnsi="Trebuchet MS" w:cs="Times New Roman"/>
        </w:rPr>
        <w:t>se</w:t>
      </w:r>
      <w:r w:rsidRPr="00E511DF">
        <w:rPr>
          <w:rFonts w:ascii="Trebuchet MS" w:hAnsi="Trebuchet MS" w:cs="Times New Roman"/>
        </w:rPr>
        <w:t xml:space="preserve"> transmi</w:t>
      </w:r>
      <w:r w:rsidR="00BB3F27" w:rsidRPr="00E511DF">
        <w:rPr>
          <w:rFonts w:ascii="Trebuchet MS" w:hAnsi="Trebuchet MS" w:cs="Times New Roman"/>
        </w:rPr>
        <w:t>t</w:t>
      </w:r>
      <w:r w:rsidRPr="00E511DF">
        <w:rPr>
          <w:rFonts w:ascii="Trebuchet MS" w:hAnsi="Trebuchet MS" w:cs="Times New Roman"/>
        </w:rPr>
        <w:t xml:space="preserve"> pe cale administrativă,</w:t>
      </w:r>
      <w:r w:rsidR="00BB3F27" w:rsidRPr="00E511DF">
        <w:rPr>
          <w:rFonts w:ascii="Trebuchet MS" w:hAnsi="Trebuchet MS" w:cs="Times New Roman"/>
        </w:rPr>
        <w:t xml:space="preserve"> în termen de </w:t>
      </w:r>
      <w:r w:rsidR="00934314" w:rsidRPr="00E511DF">
        <w:rPr>
          <w:rFonts w:ascii="Trebuchet MS" w:hAnsi="Trebuchet MS" w:cs="Times New Roman"/>
        </w:rPr>
        <w:t xml:space="preserve">5 </w:t>
      </w:r>
      <w:r w:rsidR="00BB3F27" w:rsidRPr="00E511DF">
        <w:rPr>
          <w:rFonts w:ascii="Trebuchet MS" w:hAnsi="Trebuchet MS" w:cs="Times New Roman"/>
        </w:rPr>
        <w:t xml:space="preserve">zile </w:t>
      </w:r>
      <w:r w:rsidR="00AA5A43" w:rsidRPr="00E511DF">
        <w:rPr>
          <w:rFonts w:ascii="Trebuchet MS" w:hAnsi="Trebuchet MS" w:cs="Times New Roman"/>
        </w:rPr>
        <w:t xml:space="preserve">lucrătoare </w:t>
      </w:r>
      <w:r w:rsidR="00BB3F27" w:rsidRPr="00E511DF">
        <w:rPr>
          <w:rFonts w:ascii="Trebuchet MS" w:hAnsi="Trebuchet MS" w:cs="Times New Roman"/>
        </w:rPr>
        <w:t>de la data intrării în vigoare a prezentei legi,</w:t>
      </w:r>
      <w:r w:rsidRPr="00E511DF">
        <w:rPr>
          <w:rFonts w:ascii="Trebuchet MS" w:hAnsi="Trebuchet MS" w:cs="Times New Roman"/>
        </w:rPr>
        <w:t xml:space="preserve"> prin grija </w:t>
      </w:r>
      <w:r w:rsidRPr="00E511DF">
        <w:rPr>
          <w:rFonts w:ascii="Trebuchet MS" w:hAnsi="Trebuchet MS"/>
        </w:rPr>
        <w:t>Parchetului de pe lângă Înalta Curte de Casație și Justiție</w:t>
      </w:r>
      <w:r w:rsidRPr="00E511DF">
        <w:rPr>
          <w:rFonts w:ascii="Trebuchet MS" w:hAnsi="Trebuchet MS" w:cs="Times New Roman"/>
        </w:rPr>
        <w:t>, parchetelor competente potrivit legii, care continuă soluţionarea acestora.</w:t>
      </w:r>
    </w:p>
    <w:p w14:paraId="7560DE6A" w14:textId="69BD3001" w:rsidR="00D864B2" w:rsidRPr="00E511DF" w:rsidRDefault="00D864B2" w:rsidP="00513827">
      <w:pPr>
        <w:spacing w:before="60" w:after="0" w:line="264" w:lineRule="auto"/>
        <w:jc w:val="both"/>
        <w:rPr>
          <w:rFonts w:ascii="Trebuchet MS" w:hAnsi="Trebuchet MS"/>
        </w:rPr>
      </w:pPr>
      <w:r w:rsidRPr="00E511DF">
        <w:rPr>
          <w:rFonts w:ascii="Trebuchet MS" w:hAnsi="Trebuchet MS" w:cs="Times New Roman"/>
        </w:rPr>
        <w:t xml:space="preserve">(3) </w:t>
      </w:r>
      <w:r w:rsidRPr="00E511DF">
        <w:rPr>
          <w:rFonts w:ascii="Trebuchet MS" w:hAnsi="Trebuchet MS"/>
        </w:rPr>
        <w:t>D</w:t>
      </w:r>
      <w:r w:rsidR="00BB3F27" w:rsidRPr="00E511DF">
        <w:rPr>
          <w:rFonts w:ascii="Trebuchet MS" w:hAnsi="Trebuchet MS"/>
        </w:rPr>
        <w:t>ispozițiile alin. (2) se aplică în mod core</w:t>
      </w:r>
      <w:bookmarkStart w:id="0" w:name="_GoBack"/>
      <w:bookmarkEnd w:id="0"/>
      <w:r w:rsidR="00BB3F27" w:rsidRPr="00E511DF">
        <w:rPr>
          <w:rFonts w:ascii="Trebuchet MS" w:hAnsi="Trebuchet MS"/>
        </w:rPr>
        <w:t>spunzător d</w:t>
      </w:r>
      <w:r w:rsidRPr="00E511DF">
        <w:rPr>
          <w:rFonts w:ascii="Trebuchet MS" w:hAnsi="Trebuchet MS"/>
        </w:rPr>
        <w:t>osarel</w:t>
      </w:r>
      <w:r w:rsidR="00BB3F27" w:rsidRPr="00E511DF">
        <w:rPr>
          <w:rFonts w:ascii="Trebuchet MS" w:hAnsi="Trebuchet MS"/>
        </w:rPr>
        <w:t>or</w:t>
      </w:r>
      <w:r w:rsidRPr="00E511DF">
        <w:rPr>
          <w:rFonts w:ascii="Trebuchet MS" w:hAnsi="Trebuchet MS"/>
        </w:rPr>
        <w:t xml:space="preserve"> </w:t>
      </w:r>
      <w:r w:rsidR="00B20903" w:rsidRPr="00E511DF">
        <w:rPr>
          <w:rFonts w:ascii="Trebuchet MS" w:hAnsi="Trebuchet MS"/>
        </w:rPr>
        <w:t xml:space="preserve">aflate în arhiva </w:t>
      </w:r>
      <w:r w:rsidRPr="00E511DF">
        <w:rPr>
          <w:rFonts w:ascii="Trebuchet MS" w:hAnsi="Trebuchet MS"/>
        </w:rPr>
        <w:t xml:space="preserve">Secției. </w:t>
      </w:r>
    </w:p>
    <w:p w14:paraId="7A2A8B5C" w14:textId="77777777" w:rsidR="00001A09" w:rsidRPr="00E511DF" w:rsidRDefault="00D864B2" w:rsidP="00513827">
      <w:pPr>
        <w:spacing w:before="60" w:after="0" w:line="264" w:lineRule="auto"/>
        <w:jc w:val="both"/>
        <w:rPr>
          <w:rFonts w:ascii="Trebuchet MS" w:hAnsi="Trebuchet MS" w:cs="Times New Roman"/>
        </w:rPr>
      </w:pPr>
      <w:r w:rsidRPr="00E511DF">
        <w:rPr>
          <w:rFonts w:ascii="Trebuchet MS" w:hAnsi="Trebuchet MS" w:cs="Times New Roman"/>
        </w:rPr>
        <w:t>(4) Actele de procedură îndeplinite în cauzele prevăzute la alin. (2) și (3), cu respectarea dispoziţiilor legale în vigoare la data îndeplinirii lor, rămân valabile.</w:t>
      </w:r>
    </w:p>
    <w:p w14:paraId="5E2131F6" w14:textId="67D4FDE2" w:rsidR="00116CA0" w:rsidRPr="00E511DF" w:rsidRDefault="00001A09" w:rsidP="00513827">
      <w:pPr>
        <w:spacing w:before="60" w:after="0" w:line="264" w:lineRule="auto"/>
        <w:jc w:val="both"/>
        <w:rPr>
          <w:rFonts w:ascii="Trebuchet MS" w:hAnsi="Trebuchet MS" w:cs="Times New Roman"/>
          <w:i/>
        </w:rPr>
      </w:pPr>
      <w:r w:rsidRPr="00E511DF">
        <w:rPr>
          <w:rFonts w:ascii="Trebuchet MS" w:hAnsi="Trebuchet MS" w:cs="Times New Roman"/>
        </w:rPr>
        <w:t xml:space="preserve">(5) </w:t>
      </w:r>
      <w:r w:rsidR="0051554A" w:rsidRPr="00E511DF">
        <w:rPr>
          <w:rFonts w:ascii="Trebuchet MS" w:hAnsi="Trebuchet MS" w:cs="Times New Roman"/>
        </w:rPr>
        <w:t>Soluțiile</w:t>
      </w:r>
      <w:r w:rsidR="00ED2674" w:rsidRPr="00E511DF">
        <w:rPr>
          <w:rFonts w:ascii="Trebuchet MS" w:hAnsi="Trebuchet MS" w:cs="Times New Roman"/>
        </w:rPr>
        <w:t xml:space="preserve"> de clasare</w:t>
      </w:r>
      <w:r w:rsidR="0051554A" w:rsidRPr="00E511DF">
        <w:rPr>
          <w:rFonts w:ascii="Trebuchet MS" w:hAnsi="Trebuchet MS" w:cs="Times New Roman"/>
        </w:rPr>
        <w:t>, de renunțare la urmărirea penală și de trimitere în judecată</w:t>
      </w:r>
      <w:r w:rsidR="00ED2674" w:rsidRPr="00E511DF">
        <w:rPr>
          <w:rFonts w:ascii="Trebuchet MS" w:hAnsi="Trebuchet MS" w:cs="Times New Roman"/>
        </w:rPr>
        <w:t xml:space="preserve"> dispuse de </w:t>
      </w:r>
      <w:r w:rsidR="0051554A" w:rsidRPr="00E511DF">
        <w:rPr>
          <w:rFonts w:ascii="Trebuchet MS" w:hAnsi="Trebuchet MS" w:cs="Times New Roman"/>
        </w:rPr>
        <w:t xml:space="preserve">procurorii Secției, care nu au făcut obiectul controlului ierarhic anterior </w:t>
      </w:r>
      <w:r w:rsidRPr="00E511DF">
        <w:rPr>
          <w:rFonts w:ascii="Trebuchet MS" w:hAnsi="Trebuchet MS" w:cs="Times New Roman"/>
        </w:rPr>
        <w:t>intrării în vigoare a prezentei legi</w:t>
      </w:r>
      <w:r w:rsidR="0051554A" w:rsidRPr="00E511DF">
        <w:rPr>
          <w:rFonts w:ascii="Trebuchet MS" w:hAnsi="Trebuchet MS" w:cs="Times New Roman"/>
        </w:rPr>
        <w:t>, sunt supuse de la data desființării Secției controlului exercitat</w:t>
      </w:r>
      <w:r w:rsidRPr="00E511DF">
        <w:rPr>
          <w:rFonts w:ascii="Trebuchet MS" w:hAnsi="Trebuchet MS" w:cs="Times New Roman"/>
        </w:rPr>
        <w:t xml:space="preserve"> de procurorul general al Parchetului de pe lângă Înalta Curte de Casație și Justiție</w:t>
      </w:r>
      <w:r w:rsidR="0051554A" w:rsidRPr="00E511DF">
        <w:rPr>
          <w:rFonts w:ascii="Trebuchet MS" w:hAnsi="Trebuchet MS" w:cs="Times New Roman"/>
        </w:rPr>
        <w:t>, dispoziții</w:t>
      </w:r>
      <w:r w:rsidR="009262D5" w:rsidRPr="00E511DF">
        <w:rPr>
          <w:rFonts w:ascii="Trebuchet MS" w:hAnsi="Trebuchet MS" w:cs="Times New Roman"/>
        </w:rPr>
        <w:t xml:space="preserve">le </w:t>
      </w:r>
      <w:r w:rsidR="00116CA0" w:rsidRPr="00E511DF">
        <w:rPr>
          <w:rFonts w:ascii="Trebuchet MS" w:hAnsi="Trebuchet MS" w:cs="Times New Roman"/>
        </w:rPr>
        <w:t>art. 335</w:t>
      </w:r>
      <w:r w:rsidR="009262D5" w:rsidRPr="00E511DF">
        <w:rPr>
          <w:rFonts w:ascii="Trebuchet MS" w:hAnsi="Trebuchet MS" w:cs="Times New Roman"/>
        </w:rPr>
        <w:t>,       art. 318, art. 328 și ale art. 340</w:t>
      </w:r>
      <w:r w:rsidR="00116CA0" w:rsidRPr="00E511DF">
        <w:rPr>
          <w:rFonts w:ascii="Trebuchet MS" w:hAnsi="Trebuchet MS" w:cs="Times New Roman"/>
        </w:rPr>
        <w:t xml:space="preserve"> din Codul de procedură penală </w:t>
      </w:r>
      <w:r w:rsidR="009262D5" w:rsidRPr="00E511DF">
        <w:rPr>
          <w:rFonts w:ascii="Trebuchet MS" w:hAnsi="Trebuchet MS" w:cs="Times New Roman"/>
        </w:rPr>
        <w:t>aplicându-se în mod corespunzător</w:t>
      </w:r>
      <w:r w:rsidR="00116CA0" w:rsidRPr="00E511DF">
        <w:rPr>
          <w:rFonts w:ascii="Trebuchet MS" w:hAnsi="Trebuchet MS" w:cs="Times New Roman"/>
          <w:i/>
        </w:rPr>
        <w:t>.</w:t>
      </w:r>
    </w:p>
    <w:p w14:paraId="6B45AE83" w14:textId="77777777" w:rsidR="009262D5" w:rsidRPr="00E511DF" w:rsidRDefault="009262D5" w:rsidP="00513827">
      <w:pPr>
        <w:spacing w:before="60" w:after="0" w:line="264" w:lineRule="auto"/>
        <w:jc w:val="both"/>
        <w:rPr>
          <w:rFonts w:ascii="Trebuchet MS" w:hAnsi="Trebuchet MS" w:cs="Times New Roman"/>
        </w:rPr>
      </w:pPr>
      <w:r w:rsidRPr="00E511DF">
        <w:rPr>
          <w:rFonts w:ascii="Trebuchet MS" w:hAnsi="Trebuchet MS" w:cs="Times New Roman"/>
        </w:rPr>
        <w:t>(</w:t>
      </w:r>
      <w:r w:rsidR="00DD6D6B" w:rsidRPr="00E511DF">
        <w:rPr>
          <w:rFonts w:ascii="Trebuchet MS" w:hAnsi="Trebuchet MS" w:cs="Times New Roman"/>
        </w:rPr>
        <w:t>6)</w:t>
      </w:r>
      <w:r w:rsidRPr="00E511DF">
        <w:rPr>
          <w:rFonts w:ascii="Trebuchet MS" w:hAnsi="Trebuchet MS" w:cs="Times New Roman"/>
        </w:rPr>
        <w:t xml:space="preserve"> Actele efectuate și măsurile luate de procurorii Secției în cauzele prevăzute la alin. (2), care nu au făcut obiectul controlului ierarhic anterior intrării în vigoare a prezentei legi, sunt supuse de la data desființării Secției controlului exercitat de procurorul general al Parchetului de pe lângă Înalta Curte de Casație și Justiție, dispozițiile art. 304 și ale art. 339 din Codul de procedură penală aplicându-se în mod corespunzător.</w:t>
      </w:r>
    </w:p>
    <w:p w14:paraId="0A7D3E98" w14:textId="4C4BCA40" w:rsidR="00D864B2" w:rsidRPr="00E511DF" w:rsidRDefault="00D864B2" w:rsidP="00513827">
      <w:pPr>
        <w:spacing w:before="60" w:after="0" w:line="264" w:lineRule="auto"/>
        <w:jc w:val="both"/>
      </w:pPr>
      <w:r w:rsidRPr="00E511DF">
        <w:rPr>
          <w:rFonts w:ascii="Trebuchet MS" w:hAnsi="Trebuchet MS"/>
        </w:rPr>
        <w:t>(</w:t>
      </w:r>
      <w:r w:rsidR="00A55053" w:rsidRPr="00E511DF">
        <w:rPr>
          <w:rFonts w:ascii="Trebuchet MS" w:hAnsi="Trebuchet MS"/>
        </w:rPr>
        <w:t>7</w:t>
      </w:r>
      <w:r w:rsidR="00637319" w:rsidRPr="00E511DF">
        <w:rPr>
          <w:rFonts w:ascii="Trebuchet MS" w:hAnsi="Trebuchet MS"/>
        </w:rPr>
        <w:t>) De la data desființă</w:t>
      </w:r>
      <w:r w:rsidRPr="00E511DF">
        <w:rPr>
          <w:rFonts w:ascii="Trebuchet MS" w:hAnsi="Trebuchet MS"/>
        </w:rPr>
        <w:t>rii Secției, la judecarea cauzelor şi la soluţionarea propunerilor, contestaţiilor, plângerilor sau a oricăror alte cereri formulate în cauzele preluate potrivit alin. (2) și (3) participă procurori din cadrul parchetelor de pe lângă instanțele pe rolul cărora se află acestea, dacă prin lege nu se dispune astfel.</w:t>
      </w:r>
    </w:p>
    <w:p w14:paraId="46576F1F" w14:textId="77777777" w:rsidR="004B61AD" w:rsidRPr="00E511DF" w:rsidRDefault="004B61AD" w:rsidP="00513827">
      <w:pPr>
        <w:spacing w:before="60" w:after="0" w:line="264" w:lineRule="auto"/>
        <w:jc w:val="both"/>
      </w:pPr>
      <w:r w:rsidRPr="00E511DF">
        <w:rPr>
          <w:rFonts w:ascii="Trebuchet MS" w:hAnsi="Trebuchet MS"/>
        </w:rPr>
        <w:t>(</w:t>
      </w:r>
      <w:r w:rsidR="00DD6D6B" w:rsidRPr="00E511DF">
        <w:rPr>
          <w:rFonts w:ascii="Trebuchet MS" w:hAnsi="Trebuchet MS"/>
        </w:rPr>
        <w:t>8)</w:t>
      </w:r>
      <w:r w:rsidRPr="00E511DF">
        <w:rPr>
          <w:rFonts w:ascii="Trebuchet MS" w:hAnsi="Trebuchet MS"/>
        </w:rPr>
        <w:t xml:space="preserve"> Căile de atac declarate de Secție pot fi retrase numai de procurorul general al Parchetului de pe lângă Înalta Curte de Casație și Justiție.</w:t>
      </w:r>
    </w:p>
    <w:p w14:paraId="49A34E69" w14:textId="77777777" w:rsidR="00AB775B" w:rsidRPr="00E511DF" w:rsidRDefault="00AB775B" w:rsidP="00513827">
      <w:pPr>
        <w:spacing w:before="60" w:after="0" w:line="264" w:lineRule="auto"/>
        <w:jc w:val="both"/>
        <w:rPr>
          <w:rFonts w:ascii="Trebuchet MS" w:hAnsi="Trebuchet MS"/>
          <w:b/>
        </w:rPr>
      </w:pPr>
    </w:p>
    <w:p w14:paraId="35BB465E" w14:textId="4CA31993" w:rsidR="008F72DD" w:rsidRPr="00E511DF" w:rsidRDefault="0046481B" w:rsidP="00513827">
      <w:pPr>
        <w:spacing w:before="60" w:after="0" w:line="264" w:lineRule="auto"/>
        <w:jc w:val="both"/>
        <w:rPr>
          <w:rFonts w:ascii="Trebuchet MS" w:hAnsi="Trebuchet MS"/>
        </w:rPr>
      </w:pPr>
      <w:r w:rsidRPr="00E511DF">
        <w:rPr>
          <w:rFonts w:ascii="Trebuchet MS" w:hAnsi="Trebuchet MS"/>
          <w:b/>
        </w:rPr>
        <w:t>Art. 2</w:t>
      </w:r>
      <w:r w:rsidRPr="00E511DF">
        <w:rPr>
          <w:rFonts w:ascii="Trebuchet MS" w:hAnsi="Trebuchet MS"/>
        </w:rPr>
        <w:t xml:space="preserve"> - </w:t>
      </w:r>
      <w:r w:rsidR="00556D44" w:rsidRPr="00E511DF">
        <w:rPr>
          <w:rFonts w:ascii="Trebuchet MS" w:hAnsi="Trebuchet MS"/>
        </w:rPr>
        <w:t>(</w:t>
      </w:r>
      <w:r w:rsidRPr="00E511DF">
        <w:rPr>
          <w:rFonts w:ascii="Trebuchet MS" w:hAnsi="Trebuchet MS"/>
        </w:rPr>
        <w:t>1</w:t>
      </w:r>
      <w:r w:rsidR="00556D44" w:rsidRPr="00E511DF">
        <w:rPr>
          <w:rFonts w:ascii="Trebuchet MS" w:hAnsi="Trebuchet MS"/>
        </w:rPr>
        <w:t>) Posturile aflate în schema de funcții și de personal a Secției la data intrării în vigoare a prezentei legi rămân în schema Parchetului de pe lângă Înalta Curte de Casație și Justiție, fiind redistribuite în cadrul celorlalte secții ori în cadrul altor parchete, în funcție de necesități.</w:t>
      </w:r>
    </w:p>
    <w:p w14:paraId="3E3B1DED" w14:textId="4CB47795" w:rsidR="00FF56A7" w:rsidRPr="00E511DF" w:rsidRDefault="007279A5" w:rsidP="00513827">
      <w:pPr>
        <w:autoSpaceDE w:val="0"/>
        <w:autoSpaceDN w:val="0"/>
        <w:adjustRightInd w:val="0"/>
        <w:spacing w:before="60" w:after="60" w:line="264" w:lineRule="auto"/>
        <w:jc w:val="both"/>
        <w:rPr>
          <w:rFonts w:ascii="Trebuchet MS" w:hAnsi="Trebuchet MS" w:cs="Times New Roman"/>
          <w:iCs/>
        </w:rPr>
      </w:pPr>
      <w:r w:rsidRPr="00E511DF">
        <w:rPr>
          <w:rFonts w:ascii="Trebuchet MS" w:hAnsi="Trebuchet MS"/>
        </w:rPr>
        <w:t>(</w:t>
      </w:r>
      <w:r w:rsidR="0046481B" w:rsidRPr="00E511DF">
        <w:rPr>
          <w:rFonts w:ascii="Trebuchet MS" w:hAnsi="Trebuchet MS"/>
        </w:rPr>
        <w:t>2</w:t>
      </w:r>
      <w:r w:rsidR="002054A8" w:rsidRPr="00E511DF">
        <w:rPr>
          <w:rFonts w:ascii="Trebuchet MS" w:hAnsi="Trebuchet MS"/>
        </w:rPr>
        <w:t>)</w:t>
      </w:r>
      <w:r w:rsidR="00FF56A7" w:rsidRPr="00E511DF">
        <w:rPr>
          <w:rFonts w:ascii="Trebuchet MS" w:hAnsi="Trebuchet MS"/>
        </w:rPr>
        <w:t xml:space="preserve"> Începând cu data desființării Secției, procurorii din cadrul Secției, inclusiv procurorul șef adjunct, revin la parchetele de unde provin. </w:t>
      </w:r>
      <w:r w:rsidR="00FF56A7" w:rsidRPr="00E511DF">
        <w:rPr>
          <w:rFonts w:ascii="Trebuchet MS" w:hAnsi="Trebuchet MS" w:cs="Times New Roman"/>
          <w:iCs/>
        </w:rPr>
        <w:t xml:space="preserve">De la data revenirii la parchetul de unde provin, procurorii care au activat în cadrul Secţiei îşi redobândesc gradul profesional de </w:t>
      </w:r>
      <w:r w:rsidR="00780859" w:rsidRPr="00E511DF">
        <w:rPr>
          <w:rFonts w:ascii="Trebuchet MS" w:hAnsi="Trebuchet MS" w:cs="Times New Roman"/>
          <w:iCs/>
        </w:rPr>
        <w:t>execuție</w:t>
      </w:r>
      <w:r w:rsidR="00FF56A7" w:rsidRPr="00E511DF">
        <w:rPr>
          <w:rFonts w:ascii="Trebuchet MS" w:hAnsi="Trebuchet MS" w:cs="Times New Roman"/>
          <w:iCs/>
        </w:rPr>
        <w:t xml:space="preserve"> şi salarizarea corespunzătoare acestuia avute anterior sau pe cele dobândite ca urmare a </w:t>
      </w:r>
      <w:r w:rsidR="00FF56A7" w:rsidRPr="00E511DF">
        <w:rPr>
          <w:rFonts w:ascii="Trebuchet MS" w:hAnsi="Trebuchet MS" w:cs="Times New Roman"/>
          <w:iCs/>
        </w:rPr>
        <w:lastRenderedPageBreak/>
        <w:t xml:space="preserve">promovării, în condiţiile legii, în timpul desfăşurării activităţii în cadrul Secţiei </w:t>
      </w:r>
      <w:r w:rsidR="00FF56A7" w:rsidRPr="00E511DF">
        <w:rPr>
          <w:rFonts w:ascii="Trebuchet MS" w:hAnsi="Trebuchet MS"/>
        </w:rPr>
        <w:t>pentru Investigarea Infracțiunilor din Justiție</w:t>
      </w:r>
      <w:r w:rsidR="00FF56A7" w:rsidRPr="00E511DF">
        <w:rPr>
          <w:rFonts w:ascii="Trebuchet MS" w:hAnsi="Trebuchet MS" w:cs="Times New Roman"/>
          <w:iCs/>
        </w:rPr>
        <w:t>.</w:t>
      </w:r>
    </w:p>
    <w:p w14:paraId="1D986254" w14:textId="4FD523D0" w:rsidR="007279A5" w:rsidRPr="00E511DF" w:rsidRDefault="007279A5" w:rsidP="00513827">
      <w:pPr>
        <w:autoSpaceDE w:val="0"/>
        <w:autoSpaceDN w:val="0"/>
        <w:adjustRightInd w:val="0"/>
        <w:spacing w:before="60" w:after="0" w:line="264" w:lineRule="auto"/>
        <w:jc w:val="both"/>
        <w:rPr>
          <w:rFonts w:ascii="Trebuchet MS" w:hAnsi="Trebuchet MS" w:cs="Times New Roman"/>
          <w:iCs/>
        </w:rPr>
      </w:pPr>
      <w:r w:rsidRPr="00E511DF">
        <w:rPr>
          <w:rFonts w:ascii="Trebuchet MS" w:hAnsi="Trebuchet MS" w:cs="Times New Roman"/>
          <w:iCs/>
        </w:rPr>
        <w:t>(</w:t>
      </w:r>
      <w:r w:rsidR="0046481B" w:rsidRPr="00E511DF">
        <w:rPr>
          <w:rFonts w:ascii="Trebuchet MS" w:hAnsi="Trebuchet MS" w:cs="Times New Roman"/>
          <w:iCs/>
        </w:rPr>
        <w:t>3</w:t>
      </w:r>
      <w:r w:rsidRPr="00E511DF">
        <w:rPr>
          <w:rFonts w:ascii="Trebuchet MS" w:hAnsi="Trebuchet MS" w:cs="Times New Roman"/>
          <w:iCs/>
        </w:rPr>
        <w:t>)</w:t>
      </w:r>
      <w:r w:rsidR="002557C9" w:rsidRPr="00E511DF">
        <w:rPr>
          <w:rFonts w:ascii="Trebuchet MS" w:hAnsi="Trebuchet MS"/>
        </w:rPr>
        <w:t xml:space="preserve"> </w:t>
      </w:r>
      <w:r w:rsidR="00267D1A" w:rsidRPr="00E511DF">
        <w:rPr>
          <w:rFonts w:ascii="Trebuchet MS" w:hAnsi="Trebuchet MS"/>
        </w:rPr>
        <w:t>P</w:t>
      </w:r>
      <w:r w:rsidR="00267D1A" w:rsidRPr="00E511DF">
        <w:rPr>
          <w:rFonts w:ascii="Trebuchet MS" w:hAnsi="Trebuchet MS" w:cs="Times New Roman"/>
          <w:iCs/>
        </w:rPr>
        <w:t xml:space="preserve">ersonalului </w:t>
      </w:r>
      <w:r w:rsidRPr="00E511DF">
        <w:rPr>
          <w:rFonts w:ascii="Trebuchet MS" w:hAnsi="Trebuchet MS" w:cs="Times New Roman"/>
          <w:iCs/>
        </w:rPr>
        <w:t>detașat pe celelalte categorii de posturi dintre cele prevăzute la alin. (</w:t>
      </w:r>
      <w:r w:rsidR="0014636F" w:rsidRPr="00E511DF">
        <w:rPr>
          <w:rFonts w:ascii="Trebuchet MS" w:hAnsi="Trebuchet MS" w:cs="Times New Roman"/>
          <w:iCs/>
        </w:rPr>
        <w:t>1</w:t>
      </w:r>
      <w:r w:rsidRPr="00E511DF">
        <w:rPr>
          <w:rFonts w:ascii="Trebuchet MS" w:hAnsi="Trebuchet MS" w:cs="Times New Roman"/>
          <w:iCs/>
        </w:rPr>
        <w:t>) îi încetează detașarea</w:t>
      </w:r>
      <w:r w:rsidR="00267D1A" w:rsidRPr="00E511DF">
        <w:rPr>
          <w:rFonts w:ascii="Trebuchet MS" w:hAnsi="Trebuchet MS"/>
        </w:rPr>
        <w:t xml:space="preserve"> începând cu data desființării Secției.</w:t>
      </w:r>
      <w:r w:rsidRPr="00E511DF">
        <w:rPr>
          <w:rFonts w:ascii="Trebuchet MS" w:hAnsi="Trebuchet MS" w:cs="Times New Roman"/>
          <w:iCs/>
        </w:rPr>
        <w:t xml:space="preserve"> </w:t>
      </w:r>
    </w:p>
    <w:p w14:paraId="7A00FEAA" w14:textId="75D06AC9" w:rsidR="00021DCF" w:rsidRPr="00E511DF" w:rsidRDefault="00021DCF" w:rsidP="00513827">
      <w:pPr>
        <w:autoSpaceDE w:val="0"/>
        <w:autoSpaceDN w:val="0"/>
        <w:adjustRightInd w:val="0"/>
        <w:spacing w:before="60" w:after="0" w:line="264" w:lineRule="auto"/>
        <w:jc w:val="both"/>
        <w:rPr>
          <w:rFonts w:ascii="Trebuchet MS" w:hAnsi="Trebuchet MS" w:cs="Times New Roman"/>
          <w:iCs/>
        </w:rPr>
      </w:pPr>
    </w:p>
    <w:p w14:paraId="34590939" w14:textId="6EEE9B5B" w:rsidR="004F4820" w:rsidRPr="00E511DF" w:rsidRDefault="00B20594" w:rsidP="00513827">
      <w:pPr>
        <w:autoSpaceDE w:val="0"/>
        <w:autoSpaceDN w:val="0"/>
        <w:adjustRightInd w:val="0"/>
        <w:spacing w:before="60" w:after="0" w:line="264" w:lineRule="auto"/>
        <w:jc w:val="both"/>
        <w:rPr>
          <w:rFonts w:ascii="Trebuchet MS" w:hAnsi="Trebuchet MS" w:cs="Times New Roman"/>
          <w:iCs/>
        </w:rPr>
      </w:pPr>
      <w:r w:rsidRPr="00E511DF">
        <w:rPr>
          <w:rFonts w:ascii="Trebuchet MS" w:hAnsi="Trebuchet MS" w:cs="Times New Roman"/>
          <w:b/>
          <w:iCs/>
        </w:rPr>
        <w:t>Art. 3</w:t>
      </w:r>
      <w:r w:rsidR="00A52C7B" w:rsidRPr="00E511DF">
        <w:rPr>
          <w:rFonts w:ascii="Trebuchet MS" w:hAnsi="Trebuchet MS" w:cs="Times New Roman"/>
          <w:iCs/>
        </w:rPr>
        <w:t xml:space="preserve">. </w:t>
      </w:r>
      <w:r w:rsidR="00F87F46" w:rsidRPr="00E511DF">
        <w:rPr>
          <w:rFonts w:ascii="Trebuchet MS" w:hAnsi="Trebuchet MS" w:cs="Times New Roman"/>
          <w:iCs/>
        </w:rPr>
        <w:t xml:space="preserve">- </w:t>
      </w:r>
      <w:r w:rsidR="00637319" w:rsidRPr="00E511DF">
        <w:rPr>
          <w:rFonts w:ascii="Trebuchet MS" w:hAnsi="Trebuchet MS" w:cs="Times New Roman"/>
          <w:iCs/>
        </w:rPr>
        <w:t>(1)</w:t>
      </w:r>
      <w:r w:rsidR="00A52C7B" w:rsidRPr="00E511DF">
        <w:rPr>
          <w:rFonts w:ascii="Trebuchet MS" w:hAnsi="Trebuchet MS" w:cs="Times New Roman"/>
          <w:iCs/>
        </w:rPr>
        <w:t xml:space="preserve"> </w:t>
      </w:r>
      <w:r w:rsidR="00054CDF" w:rsidRPr="00E511DF">
        <w:rPr>
          <w:rFonts w:ascii="Trebuchet MS" w:hAnsi="Trebuchet MS" w:cs="Times New Roman"/>
          <w:iCs/>
        </w:rPr>
        <w:t>De la data intrării în vigoare a prezentei legi, s</w:t>
      </w:r>
      <w:r w:rsidR="00FF56A7" w:rsidRPr="00E511DF">
        <w:rPr>
          <w:rFonts w:ascii="Trebuchet MS" w:hAnsi="Trebuchet MS" w:cs="Times New Roman"/>
          <w:iCs/>
        </w:rPr>
        <w:t xml:space="preserve">unt de competenţa </w:t>
      </w:r>
      <w:r w:rsidR="009A3FD4" w:rsidRPr="00E511DF">
        <w:rPr>
          <w:rFonts w:ascii="Trebuchet MS" w:hAnsi="Trebuchet MS" w:cs="Times New Roman"/>
          <w:iCs/>
        </w:rPr>
        <w:t xml:space="preserve">Direcţiei Naţionale </w:t>
      </w:r>
      <w:r w:rsidR="00780859" w:rsidRPr="00E511DF">
        <w:rPr>
          <w:rFonts w:ascii="Trebuchet MS" w:hAnsi="Trebuchet MS" w:cs="Times New Roman"/>
          <w:iCs/>
        </w:rPr>
        <w:t>Anticorupție</w:t>
      </w:r>
      <w:r w:rsidR="009A3FD4" w:rsidRPr="00E511DF">
        <w:rPr>
          <w:rFonts w:ascii="Trebuchet MS" w:hAnsi="Trebuchet MS" w:cs="Times New Roman"/>
          <w:iCs/>
        </w:rPr>
        <w:t xml:space="preserve"> </w:t>
      </w:r>
      <w:r w:rsidR="00AA5A43" w:rsidRPr="00E511DF">
        <w:rPr>
          <w:rFonts w:ascii="Trebuchet MS" w:hAnsi="Trebuchet MS" w:cs="Times New Roman"/>
          <w:iCs/>
        </w:rPr>
        <w:t xml:space="preserve">și </w:t>
      </w:r>
      <w:r w:rsidR="009A3FD4" w:rsidRPr="00E511DF">
        <w:rPr>
          <w:rFonts w:ascii="Trebuchet MS" w:hAnsi="Trebuchet MS" w:cs="Times New Roman"/>
          <w:iCs/>
        </w:rPr>
        <w:t>infracţiunile prevăzute în Legea nr. 78/2000</w:t>
      </w:r>
      <w:r w:rsidR="00F87F46" w:rsidRPr="00E511DF">
        <w:rPr>
          <w:rFonts w:ascii="Trebuchet MS" w:hAnsi="Trebuchet MS" w:cs="Times New Roman"/>
          <w:iCs/>
        </w:rPr>
        <w:t xml:space="preserve"> </w:t>
      </w:r>
      <w:r w:rsidR="00F87F46" w:rsidRPr="00E511DF">
        <w:rPr>
          <w:rFonts w:ascii="Trebuchet MS" w:hAnsi="Trebuchet MS" w:cs="Times New Roman"/>
        </w:rPr>
        <w:t>pentru prevenirea, descoperirea şi sancţionarea faptelor de corupţie</w:t>
      </w:r>
      <w:r w:rsidR="009A3FD4" w:rsidRPr="00E511DF">
        <w:rPr>
          <w:rFonts w:ascii="Trebuchet MS" w:hAnsi="Trebuchet MS" w:cs="Times New Roman"/>
          <w:iCs/>
        </w:rPr>
        <w:t xml:space="preserve">, cu modificările şi completările ulterioare, dacă, indiferent de valoarea pagubei materiale ori de valoarea sumei sau a bunului care formează obiectul infracţiunii de corupţie, sunt </w:t>
      </w:r>
      <w:r w:rsidR="00A546D6" w:rsidRPr="00E511DF">
        <w:rPr>
          <w:rFonts w:ascii="Trebuchet MS" w:hAnsi="Trebuchet MS" w:cs="Times New Roman"/>
          <w:iCs/>
        </w:rPr>
        <w:t xml:space="preserve">săvârșite </w:t>
      </w:r>
      <w:r w:rsidR="009A3FD4" w:rsidRPr="00E511DF">
        <w:rPr>
          <w:rFonts w:ascii="Trebuchet MS" w:hAnsi="Trebuchet MS" w:cs="Times New Roman"/>
          <w:iCs/>
        </w:rPr>
        <w:t>de judecătorii Înalt</w:t>
      </w:r>
      <w:r w:rsidR="00CB44B9" w:rsidRPr="00E511DF">
        <w:rPr>
          <w:rFonts w:ascii="Trebuchet MS" w:hAnsi="Trebuchet MS" w:cs="Times New Roman"/>
          <w:iCs/>
        </w:rPr>
        <w:t xml:space="preserve">ei Curţi de Casaţie şi Justiţie, </w:t>
      </w:r>
      <w:r w:rsidR="00F87F46" w:rsidRPr="00E511DF">
        <w:rPr>
          <w:rFonts w:ascii="Trebuchet MS" w:hAnsi="Trebuchet MS" w:cs="Times New Roman"/>
          <w:iCs/>
        </w:rPr>
        <w:t xml:space="preserve">de </w:t>
      </w:r>
      <w:r w:rsidR="00780859" w:rsidRPr="00E511DF">
        <w:rPr>
          <w:rFonts w:ascii="Trebuchet MS" w:hAnsi="Trebuchet MS" w:cs="Times New Roman"/>
          <w:iCs/>
        </w:rPr>
        <w:t>ceilalți</w:t>
      </w:r>
      <w:r w:rsidR="009A3FD4" w:rsidRPr="00E511DF">
        <w:rPr>
          <w:rFonts w:ascii="Trebuchet MS" w:hAnsi="Trebuchet MS" w:cs="Times New Roman"/>
          <w:iCs/>
        </w:rPr>
        <w:t xml:space="preserve"> judecători şi procurori</w:t>
      </w:r>
      <w:r w:rsidR="00F87F46" w:rsidRPr="00E511DF">
        <w:rPr>
          <w:rFonts w:ascii="Trebuchet MS" w:hAnsi="Trebuchet MS" w:cs="Times New Roman"/>
          <w:iCs/>
        </w:rPr>
        <w:t>,</w:t>
      </w:r>
      <w:r w:rsidR="009A3FD4" w:rsidRPr="00E511DF">
        <w:rPr>
          <w:rFonts w:ascii="Trebuchet MS" w:hAnsi="Trebuchet MS" w:cs="Times New Roman"/>
          <w:iCs/>
        </w:rPr>
        <w:t xml:space="preserve"> </w:t>
      </w:r>
      <w:r w:rsidR="00F87F46" w:rsidRPr="00E511DF">
        <w:rPr>
          <w:rFonts w:ascii="Trebuchet MS" w:hAnsi="Trebuchet MS"/>
        </w:rPr>
        <w:t xml:space="preserve">inclusiv de judecătorii şi procurorii </w:t>
      </w:r>
      <w:r w:rsidR="00340AF3" w:rsidRPr="00E511DF">
        <w:rPr>
          <w:rFonts w:ascii="Trebuchet MS" w:hAnsi="Trebuchet MS"/>
        </w:rPr>
        <w:t xml:space="preserve">militari şi </w:t>
      </w:r>
      <w:r w:rsidR="00D12BE1" w:rsidRPr="00E511DF">
        <w:rPr>
          <w:rFonts w:ascii="Trebuchet MS" w:hAnsi="Trebuchet MS"/>
        </w:rPr>
        <w:t xml:space="preserve">de </w:t>
      </w:r>
      <w:r w:rsidR="00340AF3" w:rsidRPr="00E511DF">
        <w:rPr>
          <w:rFonts w:ascii="Trebuchet MS" w:hAnsi="Trebuchet MS"/>
        </w:rPr>
        <w:t xml:space="preserve">cei </w:t>
      </w:r>
      <w:r w:rsidR="00F87F46" w:rsidRPr="00E511DF">
        <w:rPr>
          <w:rFonts w:ascii="Trebuchet MS" w:hAnsi="Trebuchet MS"/>
        </w:rPr>
        <w:t>care au calitatea de membri ai Consiliului Superior al Magistraturii</w:t>
      </w:r>
      <w:r w:rsidR="009A3FD4" w:rsidRPr="00E511DF">
        <w:rPr>
          <w:rFonts w:ascii="Trebuchet MS" w:hAnsi="Trebuchet MS" w:cs="Times New Roman"/>
          <w:iCs/>
        </w:rPr>
        <w:t>.</w:t>
      </w:r>
    </w:p>
    <w:p w14:paraId="40EA07CB" w14:textId="154AE97D" w:rsidR="00637319" w:rsidRPr="00E511DF" w:rsidRDefault="00637319" w:rsidP="00513827">
      <w:pPr>
        <w:autoSpaceDE w:val="0"/>
        <w:autoSpaceDN w:val="0"/>
        <w:spacing w:before="60" w:after="0" w:line="264" w:lineRule="auto"/>
        <w:jc w:val="both"/>
        <w:rPr>
          <w:rFonts w:ascii="Trebuchet MS" w:hAnsi="Trebuchet MS"/>
        </w:rPr>
      </w:pPr>
      <w:r w:rsidRPr="00E511DF">
        <w:rPr>
          <w:rFonts w:ascii="Trebuchet MS" w:hAnsi="Trebuchet MS" w:cs="Times New Roman"/>
          <w:iCs/>
        </w:rPr>
        <w:t xml:space="preserve">(2) </w:t>
      </w:r>
      <w:r w:rsidR="00054CDF" w:rsidRPr="00E511DF">
        <w:rPr>
          <w:rFonts w:ascii="Trebuchet MS" w:hAnsi="Trebuchet MS" w:cs="Times New Roman"/>
          <w:iCs/>
        </w:rPr>
        <w:t>De la data intrării în vigoare a prezentei legi, s</w:t>
      </w:r>
      <w:r w:rsidR="00FF56A7" w:rsidRPr="00E511DF">
        <w:rPr>
          <w:rFonts w:ascii="Trebuchet MS" w:hAnsi="Trebuchet MS" w:cs="Times New Roman"/>
          <w:iCs/>
        </w:rPr>
        <w:t xml:space="preserve">unt de competenţa </w:t>
      </w:r>
      <w:r w:rsidRPr="00E511DF">
        <w:rPr>
          <w:rFonts w:ascii="Trebuchet MS" w:hAnsi="Trebuchet MS"/>
        </w:rPr>
        <w:t>Direcţiei de Investigare a Infracțiunilor de Criminalitate Organizată şi Terorism</w:t>
      </w:r>
      <w:r w:rsidR="00AA5A43" w:rsidRPr="00E511DF">
        <w:rPr>
          <w:rFonts w:ascii="Trebuchet MS" w:hAnsi="Trebuchet MS"/>
          <w:color w:val="FF0000"/>
        </w:rPr>
        <w:t xml:space="preserve"> </w:t>
      </w:r>
      <w:r w:rsidR="00AA5A43" w:rsidRPr="00E511DF">
        <w:rPr>
          <w:rFonts w:ascii="Trebuchet MS" w:hAnsi="Trebuchet MS"/>
        </w:rPr>
        <w:t>și</w:t>
      </w:r>
      <w:r w:rsidRPr="00E511DF">
        <w:rPr>
          <w:rFonts w:ascii="Trebuchet MS" w:hAnsi="Trebuchet MS"/>
        </w:rPr>
        <w:t xml:space="preserve"> infracțiunile prevăzute </w:t>
      </w:r>
      <w:r w:rsidR="00F87F46" w:rsidRPr="00E511DF">
        <w:rPr>
          <w:rFonts w:ascii="Trebuchet MS" w:hAnsi="Trebuchet MS"/>
        </w:rPr>
        <w:t xml:space="preserve">de </w:t>
      </w:r>
      <w:r w:rsidRPr="00E511DF">
        <w:rPr>
          <w:rFonts w:ascii="Trebuchet MS" w:hAnsi="Trebuchet MS"/>
        </w:rPr>
        <w:t xml:space="preserve">art. 11 alin. (1) din Ordonanţă de urgenţă a Guvernului   nr. 78/2016 pentru organizarea şi funcţionarea Direcţiei de Investigare a Infracţiunilor de Criminalitate Organizată şi Terorism, precum şi pentru modificarea şi completarea unor acte normative, cu modificările şi completările ulterioare, săvârşite de </w:t>
      </w:r>
      <w:r w:rsidR="00A546D6" w:rsidRPr="00E511DF">
        <w:rPr>
          <w:rFonts w:ascii="Trebuchet MS" w:hAnsi="Trebuchet MS" w:cs="Times New Roman"/>
          <w:iCs/>
        </w:rPr>
        <w:t>judecătorii Înaltei Curţi de Casaţie şi Justiţie, de ceilal</w:t>
      </w:r>
      <w:r w:rsidR="00D12BE1" w:rsidRPr="00E511DF">
        <w:rPr>
          <w:rFonts w:ascii="Trebuchet MS" w:hAnsi="Trebuchet MS" w:cs="Times New Roman"/>
          <w:iCs/>
        </w:rPr>
        <w:t>ț</w:t>
      </w:r>
      <w:r w:rsidR="00A546D6" w:rsidRPr="00E511DF">
        <w:rPr>
          <w:rFonts w:ascii="Trebuchet MS" w:hAnsi="Trebuchet MS" w:cs="Times New Roman"/>
          <w:iCs/>
        </w:rPr>
        <w:t>i</w:t>
      </w:r>
      <w:r w:rsidR="00A546D6" w:rsidRPr="00E511DF">
        <w:rPr>
          <w:rFonts w:ascii="Trebuchet MS" w:hAnsi="Trebuchet MS"/>
        </w:rPr>
        <w:t xml:space="preserve"> </w:t>
      </w:r>
      <w:r w:rsidRPr="00E511DF">
        <w:rPr>
          <w:rFonts w:ascii="Trebuchet MS" w:hAnsi="Trebuchet MS"/>
        </w:rPr>
        <w:t xml:space="preserve">judecători şi procurori, inclusiv </w:t>
      </w:r>
      <w:r w:rsidR="00D12BE1" w:rsidRPr="00E511DF">
        <w:rPr>
          <w:rFonts w:ascii="Trebuchet MS" w:hAnsi="Trebuchet MS"/>
        </w:rPr>
        <w:t xml:space="preserve">de </w:t>
      </w:r>
      <w:r w:rsidRPr="00E511DF">
        <w:rPr>
          <w:rFonts w:ascii="Trebuchet MS" w:hAnsi="Trebuchet MS"/>
        </w:rPr>
        <w:t xml:space="preserve">judecătorii şi procurorii militari şi </w:t>
      </w:r>
      <w:r w:rsidR="00D12BE1" w:rsidRPr="00E511DF">
        <w:rPr>
          <w:rFonts w:ascii="Trebuchet MS" w:hAnsi="Trebuchet MS"/>
        </w:rPr>
        <w:t xml:space="preserve">de </w:t>
      </w:r>
      <w:r w:rsidRPr="00E511DF">
        <w:rPr>
          <w:rFonts w:ascii="Trebuchet MS" w:hAnsi="Trebuchet MS"/>
        </w:rPr>
        <w:t>cei care au calitatea de membri ai Consiliului Superior al Magistraturii.</w:t>
      </w:r>
    </w:p>
    <w:p w14:paraId="1903ECBC" w14:textId="77777777" w:rsidR="00AB775B" w:rsidRPr="00E511DF" w:rsidRDefault="00AB775B" w:rsidP="00513827">
      <w:pPr>
        <w:spacing w:before="60" w:after="0" w:line="264" w:lineRule="auto"/>
        <w:jc w:val="both"/>
        <w:rPr>
          <w:rFonts w:ascii="Trebuchet MS" w:hAnsi="Trebuchet MS"/>
          <w:b/>
        </w:rPr>
      </w:pPr>
    </w:p>
    <w:p w14:paraId="70AAF283" w14:textId="560E7BC7" w:rsidR="008E00B3" w:rsidRPr="00E511DF" w:rsidRDefault="008E00B3" w:rsidP="00513827">
      <w:pPr>
        <w:spacing w:before="60" w:after="0" w:line="264" w:lineRule="auto"/>
        <w:jc w:val="both"/>
        <w:rPr>
          <w:rFonts w:ascii="Trebuchet MS" w:hAnsi="Trebuchet MS"/>
        </w:rPr>
      </w:pPr>
      <w:r w:rsidRPr="00E511DF">
        <w:rPr>
          <w:rFonts w:ascii="Trebuchet MS" w:hAnsi="Trebuchet MS"/>
          <w:b/>
        </w:rPr>
        <w:t>Art. 4</w:t>
      </w:r>
      <w:r w:rsidRPr="00E511DF">
        <w:rPr>
          <w:rFonts w:ascii="Trebuchet MS" w:hAnsi="Trebuchet MS"/>
        </w:rPr>
        <w:t xml:space="preserve"> –</w:t>
      </w:r>
      <w:r w:rsidR="00F87F46" w:rsidRPr="00E511DF">
        <w:rPr>
          <w:rFonts w:ascii="Trebuchet MS" w:hAnsi="Trebuchet MS"/>
        </w:rPr>
        <w:t xml:space="preserve"> </w:t>
      </w:r>
      <w:r w:rsidRPr="00E511DF">
        <w:rPr>
          <w:rFonts w:ascii="Trebuchet MS" w:hAnsi="Trebuchet MS"/>
        </w:rPr>
        <w:t>La art. 95 din Legea nr. 303/2004 privind statutul judecătorilor și procurorilor, republicată în Monitorul Oficial al României, Partea I, nr. 826 din 13 septembrie 2005, cu modificările și completările ulterioare</w:t>
      </w:r>
      <w:r w:rsidR="00063864" w:rsidRPr="00E511DF">
        <w:rPr>
          <w:rFonts w:ascii="Trebuchet MS" w:hAnsi="Trebuchet MS"/>
        </w:rPr>
        <w:t xml:space="preserve">, </w:t>
      </w:r>
      <w:r w:rsidRPr="00E511DF">
        <w:rPr>
          <w:rFonts w:ascii="Trebuchet MS" w:hAnsi="Trebuchet MS"/>
        </w:rPr>
        <w:t>după alineatul (</w:t>
      </w:r>
      <w:r w:rsidR="00063864" w:rsidRPr="00E511DF">
        <w:rPr>
          <w:rFonts w:ascii="Trebuchet MS" w:hAnsi="Trebuchet MS"/>
        </w:rPr>
        <w:t>2</w:t>
      </w:r>
      <w:r w:rsidRPr="00E511DF">
        <w:rPr>
          <w:rFonts w:ascii="Trebuchet MS" w:hAnsi="Trebuchet MS"/>
        </w:rPr>
        <w:t>) se introduc</w:t>
      </w:r>
      <w:r w:rsidR="00063864" w:rsidRPr="00E511DF">
        <w:rPr>
          <w:rFonts w:ascii="Trebuchet MS" w:hAnsi="Trebuchet MS"/>
        </w:rPr>
        <w:t xml:space="preserve"> două </w:t>
      </w:r>
      <w:r w:rsidRPr="00E511DF">
        <w:rPr>
          <w:rFonts w:ascii="Trebuchet MS" w:hAnsi="Trebuchet MS"/>
        </w:rPr>
        <w:t>no</w:t>
      </w:r>
      <w:r w:rsidR="00CC6993" w:rsidRPr="00E511DF">
        <w:rPr>
          <w:rFonts w:ascii="Trebuchet MS" w:hAnsi="Trebuchet MS"/>
        </w:rPr>
        <w:t>i</w:t>
      </w:r>
      <w:r w:rsidRPr="00E511DF">
        <w:rPr>
          <w:rFonts w:ascii="Trebuchet MS" w:hAnsi="Trebuchet MS"/>
        </w:rPr>
        <w:t xml:space="preserve"> alineat</w:t>
      </w:r>
      <w:r w:rsidR="00063864" w:rsidRPr="00E511DF">
        <w:rPr>
          <w:rFonts w:ascii="Trebuchet MS" w:hAnsi="Trebuchet MS"/>
        </w:rPr>
        <w:t>e</w:t>
      </w:r>
      <w:r w:rsidRPr="00E511DF">
        <w:rPr>
          <w:rFonts w:ascii="Trebuchet MS" w:hAnsi="Trebuchet MS"/>
        </w:rPr>
        <w:t xml:space="preserve">, </w:t>
      </w:r>
      <w:r w:rsidR="00CC6993" w:rsidRPr="00E511DF">
        <w:rPr>
          <w:rFonts w:ascii="Trebuchet MS" w:hAnsi="Trebuchet MS"/>
        </w:rPr>
        <w:t xml:space="preserve"> </w:t>
      </w:r>
      <w:r w:rsidRPr="00E511DF">
        <w:rPr>
          <w:rFonts w:ascii="Trebuchet MS" w:hAnsi="Trebuchet MS"/>
        </w:rPr>
        <w:t>alin. (</w:t>
      </w:r>
      <w:r w:rsidR="00063864" w:rsidRPr="00E511DF">
        <w:rPr>
          <w:rFonts w:ascii="Trebuchet MS" w:hAnsi="Trebuchet MS"/>
        </w:rPr>
        <w:t>3</w:t>
      </w:r>
      <w:r w:rsidRPr="00E511DF">
        <w:rPr>
          <w:rFonts w:ascii="Trebuchet MS" w:hAnsi="Trebuchet MS"/>
        </w:rPr>
        <w:t>)</w:t>
      </w:r>
      <w:r w:rsidR="00063864" w:rsidRPr="00E511DF">
        <w:rPr>
          <w:rFonts w:ascii="Trebuchet MS" w:hAnsi="Trebuchet MS"/>
        </w:rPr>
        <w:t xml:space="preserve"> </w:t>
      </w:r>
      <w:r w:rsidR="003B2D28" w:rsidRPr="00E511DF">
        <w:rPr>
          <w:rFonts w:ascii="Trebuchet MS" w:hAnsi="Trebuchet MS"/>
        </w:rPr>
        <w:t xml:space="preserve">și </w:t>
      </w:r>
      <w:r w:rsidR="00063864" w:rsidRPr="00E511DF">
        <w:rPr>
          <w:rFonts w:ascii="Trebuchet MS" w:hAnsi="Trebuchet MS"/>
        </w:rPr>
        <w:t>(</w:t>
      </w:r>
      <w:r w:rsidR="003B2D28" w:rsidRPr="00E511DF">
        <w:rPr>
          <w:rFonts w:ascii="Trebuchet MS" w:hAnsi="Trebuchet MS"/>
        </w:rPr>
        <w:t>4</w:t>
      </w:r>
      <w:r w:rsidR="00063864" w:rsidRPr="00E511DF">
        <w:rPr>
          <w:rFonts w:ascii="Trebuchet MS" w:hAnsi="Trebuchet MS"/>
        </w:rPr>
        <w:t>)</w:t>
      </w:r>
      <w:r w:rsidRPr="00E511DF">
        <w:rPr>
          <w:rFonts w:ascii="Trebuchet MS" w:hAnsi="Trebuchet MS"/>
        </w:rPr>
        <w:t>, cu următorul cuprins:</w:t>
      </w:r>
    </w:p>
    <w:p w14:paraId="234EE296" w14:textId="6CF4CA24" w:rsidR="00DD6D6B" w:rsidRPr="00E511DF" w:rsidRDefault="003B2D28" w:rsidP="00513827">
      <w:pPr>
        <w:spacing w:before="60" w:after="0" w:line="264" w:lineRule="auto"/>
        <w:jc w:val="both"/>
        <w:rPr>
          <w:rFonts w:ascii="Trebuchet MS" w:hAnsi="Trebuchet MS"/>
        </w:rPr>
      </w:pPr>
      <w:r w:rsidRPr="00E511DF">
        <w:rPr>
          <w:rFonts w:ascii="Trebuchet MS" w:hAnsi="Trebuchet MS"/>
        </w:rPr>
        <w:t>“</w:t>
      </w:r>
      <w:r w:rsidR="008E00B3" w:rsidRPr="00E511DF">
        <w:rPr>
          <w:rFonts w:ascii="Trebuchet MS" w:hAnsi="Trebuchet MS"/>
        </w:rPr>
        <w:t>(</w:t>
      </w:r>
      <w:r w:rsidR="00063864" w:rsidRPr="00E511DF">
        <w:rPr>
          <w:rFonts w:ascii="Trebuchet MS" w:hAnsi="Trebuchet MS"/>
        </w:rPr>
        <w:t>4</w:t>
      </w:r>
      <w:r w:rsidR="008E00B3" w:rsidRPr="00E511DF">
        <w:rPr>
          <w:rFonts w:ascii="Trebuchet MS" w:hAnsi="Trebuchet MS"/>
        </w:rPr>
        <w:t>) </w:t>
      </w:r>
      <w:r w:rsidR="00DD6D6B" w:rsidRPr="00E511DF">
        <w:rPr>
          <w:rFonts w:ascii="Trebuchet MS" w:hAnsi="Trebuchet MS"/>
        </w:rPr>
        <w:t>Punerea în mișcare a acțiunii penale față de un judecător sau procuror se face cu autorizarea prealabilă a procurorului general al Parchetului de pe lângă Înalta Curte de Casație și Justiție.</w:t>
      </w:r>
    </w:p>
    <w:p w14:paraId="69268F16" w14:textId="61391473" w:rsidR="008E00B3" w:rsidRPr="00E511DF" w:rsidRDefault="00DD6D6B" w:rsidP="00513827">
      <w:pPr>
        <w:spacing w:before="60" w:after="0" w:line="264" w:lineRule="auto"/>
        <w:jc w:val="both"/>
        <w:rPr>
          <w:rFonts w:ascii="Trebuchet MS" w:hAnsi="Trebuchet MS"/>
        </w:rPr>
      </w:pPr>
      <w:r w:rsidRPr="00E511DF">
        <w:rPr>
          <w:rFonts w:ascii="Trebuchet MS" w:hAnsi="Trebuchet MS"/>
        </w:rPr>
        <w:t xml:space="preserve">(5) </w:t>
      </w:r>
      <w:r w:rsidR="008E00B3" w:rsidRPr="00E511DF">
        <w:rPr>
          <w:rFonts w:ascii="Trebuchet MS" w:hAnsi="Trebuchet MS"/>
        </w:rPr>
        <w:t>Trimiterea în judecată a judecătorilor și procurorilo</w:t>
      </w:r>
      <w:r w:rsidR="00CC6993" w:rsidRPr="00E511DF">
        <w:rPr>
          <w:rFonts w:ascii="Trebuchet MS" w:hAnsi="Trebuchet MS"/>
        </w:rPr>
        <w:t>r</w:t>
      </w:r>
      <w:r w:rsidR="008E00B3" w:rsidRPr="00E511DF">
        <w:rPr>
          <w:rFonts w:ascii="Trebuchet MS" w:hAnsi="Trebuchet MS"/>
        </w:rPr>
        <w:t xml:space="preserve"> se încuviințează de Secția pentru judecători sau, după caz, de Secția pentru procurori a Consiliului Superior al Magistraturii.”</w:t>
      </w:r>
    </w:p>
    <w:p w14:paraId="469DB2ED" w14:textId="77777777" w:rsidR="00AB775B" w:rsidRPr="00E511DF" w:rsidRDefault="00AB775B" w:rsidP="00513827">
      <w:pPr>
        <w:spacing w:before="60" w:after="0" w:line="264" w:lineRule="auto"/>
        <w:jc w:val="both"/>
        <w:rPr>
          <w:rFonts w:ascii="Trebuchet MS" w:hAnsi="Trebuchet MS"/>
          <w:b/>
        </w:rPr>
      </w:pPr>
    </w:p>
    <w:p w14:paraId="0B32B0A5" w14:textId="14DD625E" w:rsidR="009068E0" w:rsidRPr="00E511DF" w:rsidRDefault="008E00B3" w:rsidP="00513827">
      <w:pPr>
        <w:spacing w:before="60" w:after="0" w:line="264" w:lineRule="auto"/>
        <w:jc w:val="both"/>
        <w:rPr>
          <w:rFonts w:ascii="Trebuchet MS" w:hAnsi="Trebuchet MS"/>
        </w:rPr>
      </w:pPr>
      <w:r w:rsidRPr="00E511DF">
        <w:rPr>
          <w:rFonts w:ascii="Trebuchet MS" w:hAnsi="Trebuchet MS"/>
          <w:b/>
        </w:rPr>
        <w:t xml:space="preserve">Art. </w:t>
      </w:r>
      <w:r w:rsidR="003B2D28" w:rsidRPr="00E511DF">
        <w:rPr>
          <w:rFonts w:ascii="Trebuchet MS" w:hAnsi="Trebuchet MS"/>
          <w:b/>
        </w:rPr>
        <w:t>5</w:t>
      </w:r>
      <w:r w:rsidRPr="00E511DF">
        <w:rPr>
          <w:rFonts w:ascii="Trebuchet MS" w:hAnsi="Trebuchet MS"/>
        </w:rPr>
        <w:t xml:space="preserve"> –</w:t>
      </w:r>
      <w:r w:rsidR="009068E0" w:rsidRPr="00E511DF">
        <w:rPr>
          <w:rFonts w:ascii="Trebuchet MS" w:hAnsi="Trebuchet MS"/>
        </w:rPr>
        <w:t xml:space="preserve"> </w:t>
      </w:r>
      <w:r w:rsidRPr="00E511DF">
        <w:rPr>
          <w:rFonts w:ascii="Trebuchet MS" w:hAnsi="Trebuchet MS"/>
        </w:rPr>
        <w:t xml:space="preserve">Legea nr. 317/2004 privind  Consiliul Superior al Magistraturii, republicată în </w:t>
      </w:r>
      <w:hyperlink r:id="rId8" w:tgtFrame="_blank" w:history="1">
        <w:r w:rsidRPr="00E511DF">
          <w:rPr>
            <w:rStyle w:val="Hyperlink"/>
            <w:rFonts w:ascii="Trebuchet MS" w:hAnsi="Trebuchet MS"/>
            <w:color w:val="auto"/>
            <w:u w:val="none"/>
          </w:rPr>
          <w:t>Monitorul Oficial al României, Partea I</w:t>
        </w:r>
      </w:hyperlink>
      <w:r w:rsidRPr="00E511DF">
        <w:rPr>
          <w:rFonts w:ascii="Trebuchet MS" w:hAnsi="Trebuchet MS"/>
        </w:rPr>
        <w:t xml:space="preserve"> nr. 628 din 01 septembrie 2012, cu modificările și completările ulterioare, se modifică </w:t>
      </w:r>
      <w:r w:rsidR="009068E0" w:rsidRPr="00E511DF">
        <w:rPr>
          <w:rFonts w:ascii="Trebuchet MS" w:hAnsi="Trebuchet MS"/>
        </w:rPr>
        <w:t>după cum urmează:</w:t>
      </w:r>
    </w:p>
    <w:p w14:paraId="2C9B3048" w14:textId="1DCD0D94" w:rsidR="008E00B3" w:rsidRPr="00E511DF" w:rsidRDefault="00513827" w:rsidP="00513827">
      <w:pPr>
        <w:spacing w:before="60" w:after="0" w:line="264" w:lineRule="auto"/>
        <w:jc w:val="both"/>
        <w:rPr>
          <w:rFonts w:ascii="Trebuchet MS" w:hAnsi="Trebuchet MS"/>
        </w:rPr>
      </w:pPr>
      <w:r w:rsidRPr="00E511DF">
        <w:rPr>
          <w:rFonts w:ascii="Trebuchet MS" w:hAnsi="Trebuchet MS"/>
        </w:rPr>
        <w:t>1</w:t>
      </w:r>
      <w:r w:rsidR="009068E0" w:rsidRPr="00E511DF">
        <w:rPr>
          <w:rFonts w:ascii="Trebuchet MS" w:hAnsi="Trebuchet MS"/>
        </w:rPr>
        <w:t>. Alineatul (2) al articolului 28 va avea</w:t>
      </w:r>
      <w:r w:rsidR="008E00B3" w:rsidRPr="00E511DF">
        <w:rPr>
          <w:rFonts w:ascii="Trebuchet MS" w:hAnsi="Trebuchet MS"/>
        </w:rPr>
        <w:t xml:space="preserve"> următorul cuprins:</w:t>
      </w:r>
    </w:p>
    <w:p w14:paraId="7D3EC7B9" w14:textId="35B196E7" w:rsidR="009068E0" w:rsidRPr="00E511DF" w:rsidRDefault="007A4C3C" w:rsidP="00513827">
      <w:pPr>
        <w:spacing w:before="60" w:after="0" w:line="264" w:lineRule="auto"/>
        <w:jc w:val="both"/>
        <w:rPr>
          <w:rFonts w:ascii="Trebuchet MS" w:hAnsi="Trebuchet MS"/>
        </w:rPr>
      </w:pPr>
      <w:r w:rsidRPr="00E511DF">
        <w:rPr>
          <w:rFonts w:ascii="Trebuchet MS" w:hAnsi="Trebuchet MS"/>
        </w:rPr>
        <w:t>„</w:t>
      </w:r>
      <w:r w:rsidR="009068E0" w:rsidRPr="00E511DF">
        <w:rPr>
          <w:rFonts w:ascii="Trebuchet MS" w:hAnsi="Trebuchet MS"/>
          <w:shd w:val="clear" w:color="auto" w:fill="FFFFFF"/>
        </w:rPr>
        <w:t>(2) Președintele Înaltei Curți de Casație și Justiție, ministrul justiției și procurorul general al Parchetului de pe lângă Înalta Curte de Casație și Justiție nu au drept de vot în situațiile în care secțiile îndeplinesc rolul de instanță de judecată în domeniul răspunderii disciplinare, la soluționarea sesizărilor referitoare la buna reputație a judecătorilor și procurorilor, a cererilor privind încuviințarea percheziției, reținerii, arestării preventive sau arestului la domiciliu cu privire la judecători, procurori ori magistrați-asistenți, precum și a cererilor privind încuviințarea trimiterii în judecată a judecătorilor și procurorilor.</w:t>
      </w:r>
      <w:r w:rsidRPr="00E511DF">
        <w:rPr>
          <w:rFonts w:ascii="Trebuchet MS" w:hAnsi="Trebuchet MS"/>
          <w:shd w:val="clear" w:color="auto" w:fill="FFFFFF"/>
        </w:rPr>
        <w:t>”</w:t>
      </w:r>
    </w:p>
    <w:p w14:paraId="6C810874" w14:textId="10DF43FA" w:rsidR="009068E0" w:rsidRPr="00E511DF" w:rsidRDefault="00513827" w:rsidP="00513827">
      <w:pPr>
        <w:spacing w:before="60" w:after="0" w:line="264" w:lineRule="auto"/>
        <w:jc w:val="both"/>
        <w:rPr>
          <w:rFonts w:ascii="Trebuchet MS" w:hAnsi="Trebuchet MS"/>
        </w:rPr>
      </w:pPr>
      <w:r w:rsidRPr="00E511DF">
        <w:rPr>
          <w:rFonts w:ascii="Trebuchet MS" w:hAnsi="Trebuchet MS"/>
        </w:rPr>
        <w:t>2</w:t>
      </w:r>
      <w:r w:rsidR="007A4C3C" w:rsidRPr="00E511DF">
        <w:rPr>
          <w:rFonts w:ascii="Trebuchet MS" w:hAnsi="Trebuchet MS"/>
        </w:rPr>
        <w:t xml:space="preserve">. </w:t>
      </w:r>
      <w:r w:rsidR="00054CDF" w:rsidRPr="00E511DF">
        <w:rPr>
          <w:rFonts w:ascii="Trebuchet MS" w:hAnsi="Trebuchet MS"/>
        </w:rPr>
        <w:t>A</w:t>
      </w:r>
      <w:r w:rsidR="007A4C3C" w:rsidRPr="00E511DF">
        <w:rPr>
          <w:rFonts w:ascii="Trebuchet MS" w:hAnsi="Trebuchet MS"/>
        </w:rPr>
        <w:t xml:space="preserve">rticolul 42 </w:t>
      </w:r>
      <w:r w:rsidR="00054CDF" w:rsidRPr="00E511DF">
        <w:rPr>
          <w:rFonts w:ascii="Trebuchet MS" w:hAnsi="Trebuchet MS"/>
        </w:rPr>
        <w:t xml:space="preserve">va </w:t>
      </w:r>
      <w:r w:rsidR="007A4C3C" w:rsidRPr="00E511DF">
        <w:rPr>
          <w:rFonts w:ascii="Trebuchet MS" w:hAnsi="Trebuchet MS"/>
        </w:rPr>
        <w:t>avea următorul cuprins</w:t>
      </w:r>
      <w:r w:rsidR="00A64418" w:rsidRPr="00E511DF">
        <w:rPr>
          <w:rFonts w:ascii="Trebuchet MS" w:hAnsi="Trebuchet MS"/>
        </w:rPr>
        <w:t>:</w:t>
      </w:r>
    </w:p>
    <w:p w14:paraId="5897FF77" w14:textId="2E0E2585" w:rsidR="008E00B3" w:rsidRPr="00E511DF" w:rsidRDefault="008E00B3" w:rsidP="00513827">
      <w:pPr>
        <w:spacing w:before="60" w:after="0" w:line="264" w:lineRule="auto"/>
        <w:jc w:val="both"/>
        <w:rPr>
          <w:rFonts w:ascii="Trebuchet MS" w:hAnsi="Trebuchet MS"/>
        </w:rPr>
      </w:pPr>
      <w:r w:rsidRPr="00E511DF">
        <w:rPr>
          <w:rFonts w:ascii="Trebuchet MS" w:hAnsi="Trebuchet MS"/>
          <w:bCs/>
        </w:rPr>
        <w:lastRenderedPageBreak/>
        <w:t>„(1)</w:t>
      </w:r>
      <w:r w:rsidRPr="00E511DF">
        <w:rPr>
          <w:rFonts w:ascii="Trebuchet MS" w:hAnsi="Trebuchet MS"/>
        </w:rPr>
        <w:t xml:space="preserve"> Secția pentru judecători a Consiliului Superior al Magistraturii încuviințează percheziția, reținerea, arestarea preventivă sau arestul la domiciliu cu privire la judecători și magistrați-asistenți, precum și </w:t>
      </w:r>
      <w:r w:rsidR="00A55053" w:rsidRPr="00E511DF">
        <w:rPr>
          <w:rFonts w:ascii="Trebuchet MS" w:hAnsi="Trebuchet MS"/>
        </w:rPr>
        <w:t xml:space="preserve">trimiterea în judecată a </w:t>
      </w:r>
      <w:r w:rsidRPr="00E511DF">
        <w:rPr>
          <w:rFonts w:ascii="Trebuchet MS" w:hAnsi="Trebuchet MS"/>
        </w:rPr>
        <w:t>judecători</w:t>
      </w:r>
      <w:r w:rsidR="00A55053" w:rsidRPr="00E511DF">
        <w:rPr>
          <w:rFonts w:ascii="Trebuchet MS" w:hAnsi="Trebuchet MS"/>
        </w:rPr>
        <w:t>lor</w:t>
      </w:r>
      <w:r w:rsidRPr="00E511DF">
        <w:rPr>
          <w:rFonts w:ascii="Trebuchet MS" w:hAnsi="Trebuchet MS"/>
        </w:rPr>
        <w:t>.</w:t>
      </w:r>
    </w:p>
    <w:p w14:paraId="7CF70C2E" w14:textId="4C61CB03" w:rsidR="008E00B3" w:rsidRPr="00E511DF" w:rsidRDefault="008E00B3" w:rsidP="00513827">
      <w:pPr>
        <w:spacing w:before="60" w:after="0" w:line="264" w:lineRule="auto"/>
        <w:jc w:val="both"/>
        <w:rPr>
          <w:rFonts w:ascii="Trebuchet MS" w:hAnsi="Trebuchet MS"/>
        </w:rPr>
      </w:pPr>
      <w:r w:rsidRPr="00E511DF">
        <w:rPr>
          <w:rFonts w:ascii="Trebuchet MS" w:hAnsi="Trebuchet MS"/>
          <w:bCs/>
        </w:rPr>
        <w:t>(2)</w:t>
      </w:r>
      <w:r w:rsidRPr="00E511DF">
        <w:rPr>
          <w:rFonts w:ascii="Trebuchet MS" w:hAnsi="Trebuchet MS"/>
        </w:rPr>
        <w:t xml:space="preserve"> Secția pentru procurori a Consiliului Superior al Magistraturii încuviințează </w:t>
      </w:r>
      <w:r w:rsidR="00A55053" w:rsidRPr="00E511DF">
        <w:rPr>
          <w:rFonts w:ascii="Trebuchet MS" w:hAnsi="Trebuchet MS"/>
        </w:rPr>
        <w:t>trimiterea în judecată</w:t>
      </w:r>
      <w:r w:rsidRPr="00E511DF">
        <w:rPr>
          <w:rFonts w:ascii="Trebuchet MS" w:hAnsi="Trebuchet MS"/>
        </w:rPr>
        <w:t>, percheziția, reținerea, arestarea preventivă sau arestul la domiciliu cu privire la procurori.</w:t>
      </w:r>
    </w:p>
    <w:p w14:paraId="04927BA3" w14:textId="3F8DD304" w:rsidR="00513827" w:rsidRPr="00E511DF" w:rsidRDefault="00513827" w:rsidP="00A32FF3">
      <w:pPr>
        <w:autoSpaceDE w:val="0"/>
        <w:autoSpaceDN w:val="0"/>
        <w:adjustRightInd w:val="0"/>
        <w:spacing w:after="0" w:line="264" w:lineRule="auto"/>
        <w:jc w:val="both"/>
        <w:rPr>
          <w:rFonts w:ascii="Trebuchet MS" w:hAnsi="Trebuchet MS" w:cs="Times New Roman"/>
          <w:iCs/>
        </w:rPr>
      </w:pPr>
      <w:r w:rsidRPr="00E511DF">
        <w:rPr>
          <w:rFonts w:ascii="Trebuchet MS" w:hAnsi="Trebuchet MS" w:cs="Times New Roman"/>
          <w:iCs/>
        </w:rPr>
        <w:t xml:space="preserve">(3) Dispoziţiile prevăzute la alin. (1) şi (2) privind </w:t>
      </w:r>
      <w:r w:rsidR="00780859" w:rsidRPr="00E511DF">
        <w:rPr>
          <w:rFonts w:ascii="Trebuchet MS" w:hAnsi="Trebuchet MS" w:cs="Times New Roman"/>
          <w:iCs/>
        </w:rPr>
        <w:t>percheziția</w:t>
      </w:r>
      <w:r w:rsidRPr="00E511DF">
        <w:rPr>
          <w:rFonts w:ascii="Trebuchet MS" w:hAnsi="Trebuchet MS" w:cs="Times New Roman"/>
          <w:iCs/>
        </w:rPr>
        <w:t xml:space="preserve"> şi </w:t>
      </w:r>
      <w:r w:rsidR="00780859" w:rsidRPr="00E511DF">
        <w:rPr>
          <w:rFonts w:ascii="Trebuchet MS" w:hAnsi="Trebuchet MS" w:cs="Times New Roman"/>
          <w:iCs/>
        </w:rPr>
        <w:t>reținerea</w:t>
      </w:r>
      <w:r w:rsidRPr="00E511DF">
        <w:rPr>
          <w:rFonts w:ascii="Trebuchet MS" w:hAnsi="Trebuchet MS" w:cs="Times New Roman"/>
          <w:iCs/>
        </w:rPr>
        <w:t xml:space="preserve"> nu se aplică în caz de infracţiune flagrantă.</w:t>
      </w:r>
    </w:p>
    <w:p w14:paraId="5EB6196A" w14:textId="77FA6C39" w:rsidR="00A32FF3" w:rsidRPr="00E511DF" w:rsidRDefault="00513827" w:rsidP="00A32FF3">
      <w:pPr>
        <w:autoSpaceDE w:val="0"/>
        <w:autoSpaceDN w:val="0"/>
        <w:adjustRightInd w:val="0"/>
        <w:spacing w:after="0" w:line="264" w:lineRule="auto"/>
        <w:jc w:val="both"/>
        <w:rPr>
          <w:rFonts w:ascii="Trebuchet MS" w:hAnsi="Trebuchet MS" w:cs="Times New Roman"/>
          <w:i/>
          <w:iCs/>
        </w:rPr>
      </w:pPr>
      <w:r w:rsidRPr="00E511DF">
        <w:rPr>
          <w:rFonts w:ascii="Trebuchet MS" w:hAnsi="Trebuchet MS" w:cs="Times New Roman"/>
          <w:iCs/>
        </w:rPr>
        <w:t xml:space="preserve">(4) </w:t>
      </w:r>
      <w:r w:rsidR="00780859" w:rsidRPr="00E511DF">
        <w:rPr>
          <w:rFonts w:ascii="Trebuchet MS" w:hAnsi="Trebuchet MS" w:cs="Times New Roman"/>
          <w:iCs/>
        </w:rPr>
        <w:t>Secțiile</w:t>
      </w:r>
      <w:r w:rsidRPr="00E511DF">
        <w:rPr>
          <w:rFonts w:ascii="Trebuchet MS" w:hAnsi="Trebuchet MS" w:cs="Times New Roman"/>
          <w:iCs/>
        </w:rPr>
        <w:t xml:space="preserve"> Consiliului Superior al Magistraturii se pronunţă de îndată după primirea sesizării în cazul cererilor de</w:t>
      </w:r>
      <w:r w:rsidRPr="00E511DF">
        <w:rPr>
          <w:rFonts w:ascii="Trebuchet MS" w:hAnsi="Trebuchet MS"/>
        </w:rPr>
        <w:t xml:space="preserve"> încuviinț</w:t>
      </w:r>
      <w:r w:rsidR="00A32FF3" w:rsidRPr="00E511DF">
        <w:rPr>
          <w:rFonts w:ascii="Trebuchet MS" w:hAnsi="Trebuchet MS"/>
        </w:rPr>
        <w:t xml:space="preserve">are </w:t>
      </w:r>
      <w:r w:rsidRPr="00E511DF">
        <w:rPr>
          <w:rFonts w:ascii="Trebuchet MS" w:hAnsi="Trebuchet MS"/>
        </w:rPr>
        <w:t>a percheziției, reținerii, arestării preventive sau arestului la domiciliu</w:t>
      </w:r>
      <w:r w:rsidRPr="00E511DF">
        <w:rPr>
          <w:rFonts w:ascii="Trebuchet MS" w:hAnsi="Trebuchet MS" w:cs="Times New Roman"/>
          <w:iCs/>
        </w:rPr>
        <w:t xml:space="preserve"> și în termen de 15 zile de la primirea sesizării</w:t>
      </w:r>
      <w:r w:rsidR="00054CDF" w:rsidRPr="00E511DF">
        <w:rPr>
          <w:rFonts w:ascii="Trebuchet MS" w:hAnsi="Trebuchet MS" w:cs="Times New Roman"/>
          <w:iCs/>
        </w:rPr>
        <w:t>,</w:t>
      </w:r>
      <w:r w:rsidRPr="00E511DF">
        <w:rPr>
          <w:rFonts w:ascii="Trebuchet MS" w:hAnsi="Trebuchet MS" w:cs="Times New Roman"/>
          <w:iCs/>
        </w:rPr>
        <w:t xml:space="preserve"> în cazul cererilor de încuviințare a trimiterii în judecată</w:t>
      </w:r>
      <w:r w:rsidRPr="00E511DF">
        <w:rPr>
          <w:rFonts w:ascii="Trebuchet MS" w:hAnsi="Trebuchet MS" w:cs="Times New Roman"/>
          <w:i/>
          <w:iCs/>
        </w:rPr>
        <w:t>.</w:t>
      </w:r>
      <w:r w:rsidR="00ED69BE" w:rsidRPr="00E511DF">
        <w:rPr>
          <w:rFonts w:ascii="Trebuchet MS" w:hAnsi="Trebuchet MS"/>
        </w:rPr>
        <w:t xml:space="preserve"> În caz de egalitate de voturi cererea se consideră respinsă.</w:t>
      </w:r>
    </w:p>
    <w:p w14:paraId="37B4CD81" w14:textId="50106E4A" w:rsidR="00513827" w:rsidRPr="00E511DF" w:rsidRDefault="00A32FF3" w:rsidP="00A32FF3">
      <w:pPr>
        <w:autoSpaceDE w:val="0"/>
        <w:autoSpaceDN w:val="0"/>
        <w:adjustRightInd w:val="0"/>
        <w:spacing w:after="0" w:line="264" w:lineRule="auto"/>
        <w:jc w:val="both"/>
        <w:rPr>
          <w:rFonts w:ascii="Trebuchet MS" w:hAnsi="Trebuchet MS" w:cs="Times New Roman"/>
        </w:rPr>
      </w:pPr>
      <w:r w:rsidRPr="00E511DF">
        <w:rPr>
          <w:rFonts w:ascii="Trebuchet MS" w:hAnsi="Trebuchet MS" w:cs="Times New Roman"/>
          <w:iCs/>
        </w:rPr>
        <w:t xml:space="preserve">(5) </w:t>
      </w:r>
      <w:r w:rsidR="00054CDF" w:rsidRPr="00E511DF">
        <w:rPr>
          <w:rFonts w:ascii="Trebuchet MS" w:hAnsi="Trebuchet MS" w:cs="Times New Roman"/>
          <w:iCs/>
        </w:rPr>
        <w:t xml:space="preserve">Dacă </w:t>
      </w:r>
      <w:r w:rsidR="00ED69BE" w:rsidRPr="00E511DF">
        <w:rPr>
          <w:rFonts w:ascii="Trebuchet MS" w:hAnsi="Trebuchet MS" w:cs="Times New Roman"/>
          <w:iCs/>
        </w:rPr>
        <w:t xml:space="preserve">cererea de încuviințare a percheziției, reținerii, arestării preventive, arestului la domiciliu sau a trimiterii în judecată </w:t>
      </w:r>
      <w:r w:rsidR="003B25D4" w:rsidRPr="00E511DF">
        <w:rPr>
          <w:rFonts w:ascii="Trebuchet MS" w:hAnsi="Trebuchet MS" w:cs="Times New Roman"/>
          <w:iCs/>
        </w:rPr>
        <w:t>privește</w:t>
      </w:r>
      <w:r w:rsidR="00ED69BE" w:rsidRPr="00E511DF">
        <w:rPr>
          <w:rFonts w:ascii="Trebuchet MS" w:hAnsi="Trebuchet MS" w:cs="Times New Roman"/>
          <w:iCs/>
        </w:rPr>
        <w:t xml:space="preserve"> un </w:t>
      </w:r>
      <w:r w:rsidR="001D286E" w:rsidRPr="00E511DF">
        <w:rPr>
          <w:rFonts w:ascii="Trebuchet MS" w:hAnsi="Trebuchet MS" w:cs="Times New Roman"/>
          <w:iCs/>
        </w:rPr>
        <w:t>magistrat membru ales al</w:t>
      </w:r>
      <w:r w:rsidR="00ED69BE" w:rsidRPr="00E511DF">
        <w:rPr>
          <w:rFonts w:ascii="Trebuchet MS" w:hAnsi="Trebuchet MS" w:cs="Times New Roman"/>
          <w:iCs/>
        </w:rPr>
        <w:t xml:space="preserve"> Consiliului Superior al Magistraturii</w:t>
      </w:r>
      <w:r w:rsidR="001D286E" w:rsidRPr="00E511DF">
        <w:rPr>
          <w:rFonts w:ascii="Trebuchet MS" w:hAnsi="Trebuchet MS" w:cs="Times New Roman"/>
          <w:iCs/>
        </w:rPr>
        <w:t xml:space="preserve">, acesta nu </w:t>
      </w:r>
      <w:r w:rsidR="009E300B" w:rsidRPr="00E511DF">
        <w:rPr>
          <w:rFonts w:ascii="Trebuchet MS" w:hAnsi="Trebuchet MS" w:cs="Times New Roman"/>
          <w:iCs/>
        </w:rPr>
        <w:t>are drept de vot</w:t>
      </w:r>
      <w:r w:rsidR="00D12BE1" w:rsidRPr="00E511DF">
        <w:rPr>
          <w:rFonts w:ascii="Trebuchet MS" w:hAnsi="Trebuchet MS" w:cs="Times New Roman"/>
          <w:iCs/>
        </w:rPr>
        <w:t xml:space="preserve"> la soluționarea respectivei cereri</w:t>
      </w:r>
      <w:r w:rsidR="004554F9" w:rsidRPr="00E511DF">
        <w:rPr>
          <w:rFonts w:ascii="Trebuchet MS" w:hAnsi="Trebuchet MS"/>
        </w:rPr>
        <w:t>.</w:t>
      </w:r>
      <w:r w:rsidR="00513827" w:rsidRPr="00E511DF">
        <w:rPr>
          <w:rFonts w:ascii="Trebuchet MS" w:hAnsi="Trebuchet MS" w:cs="Times New Roman"/>
          <w:iCs/>
        </w:rPr>
        <w:t>”</w:t>
      </w:r>
    </w:p>
    <w:p w14:paraId="2AE604A4" w14:textId="77777777" w:rsidR="00AB775B" w:rsidRPr="00E511DF" w:rsidRDefault="00AB775B" w:rsidP="00513827">
      <w:pPr>
        <w:spacing w:before="60" w:after="0" w:line="264" w:lineRule="auto"/>
        <w:jc w:val="both"/>
        <w:rPr>
          <w:rFonts w:ascii="Trebuchet MS" w:hAnsi="Trebuchet MS"/>
          <w:b/>
        </w:rPr>
      </w:pPr>
    </w:p>
    <w:p w14:paraId="6A0F11FD" w14:textId="798A9FF4" w:rsidR="00205568" w:rsidRPr="00E511DF" w:rsidRDefault="004729F1" w:rsidP="00513827">
      <w:pPr>
        <w:spacing w:before="60" w:after="0" w:line="264" w:lineRule="auto"/>
        <w:jc w:val="both"/>
        <w:rPr>
          <w:rFonts w:ascii="Trebuchet MS" w:hAnsi="Trebuchet MS"/>
          <w:iCs/>
        </w:rPr>
      </w:pPr>
      <w:r w:rsidRPr="00E511DF">
        <w:rPr>
          <w:rFonts w:ascii="Trebuchet MS" w:hAnsi="Trebuchet MS"/>
          <w:b/>
        </w:rPr>
        <w:t xml:space="preserve">Art. </w:t>
      </w:r>
      <w:r w:rsidR="003B2D28" w:rsidRPr="00E511DF">
        <w:rPr>
          <w:rFonts w:ascii="Trebuchet MS" w:hAnsi="Trebuchet MS"/>
          <w:b/>
        </w:rPr>
        <w:t>6</w:t>
      </w:r>
      <w:r w:rsidRPr="00E511DF">
        <w:rPr>
          <w:rFonts w:ascii="Trebuchet MS" w:hAnsi="Trebuchet MS"/>
          <w:b/>
        </w:rPr>
        <w:t xml:space="preserve"> </w:t>
      </w:r>
      <w:r w:rsidR="00B20594" w:rsidRPr="00E511DF">
        <w:rPr>
          <w:rFonts w:ascii="Trebuchet MS" w:hAnsi="Trebuchet MS"/>
        </w:rPr>
        <w:t xml:space="preserve">- </w:t>
      </w:r>
      <w:r w:rsidR="00E850D7" w:rsidRPr="00E511DF">
        <w:rPr>
          <w:rFonts w:ascii="Trebuchet MS" w:hAnsi="Trebuchet MS"/>
          <w:iCs/>
        </w:rPr>
        <w:t>La</w:t>
      </w:r>
      <w:r w:rsidR="00B20594" w:rsidRPr="00E511DF">
        <w:rPr>
          <w:rFonts w:ascii="Trebuchet MS" w:hAnsi="Trebuchet MS"/>
          <w:iCs/>
        </w:rPr>
        <w:t xml:space="preserve"> data intrării în vigoare a prezentei legi se abrogă Secțiunea 2</w:t>
      </w:r>
      <w:r w:rsidR="00B20594" w:rsidRPr="00E511DF">
        <w:rPr>
          <w:rFonts w:ascii="Trebuchet MS" w:hAnsi="Trebuchet MS"/>
          <w:iCs/>
          <w:vertAlign w:val="superscript"/>
        </w:rPr>
        <w:t>1</w:t>
      </w:r>
      <w:r w:rsidR="00B20594" w:rsidRPr="00E511DF">
        <w:rPr>
          <w:rFonts w:ascii="Trebuchet MS" w:hAnsi="Trebuchet MS"/>
          <w:iCs/>
        </w:rPr>
        <w:t xml:space="preserve"> – </w:t>
      </w:r>
      <w:r w:rsidR="0002187E" w:rsidRPr="00E511DF">
        <w:rPr>
          <w:rFonts w:ascii="Trebuchet MS" w:hAnsi="Trebuchet MS"/>
          <w:iCs/>
        </w:rPr>
        <w:t>„</w:t>
      </w:r>
      <w:r w:rsidR="00B20594" w:rsidRPr="00E511DF">
        <w:rPr>
          <w:rFonts w:ascii="Trebuchet MS" w:hAnsi="Trebuchet MS"/>
          <w:bCs/>
          <w:iCs/>
        </w:rPr>
        <w:t xml:space="preserve">Secţia pentru investigarea infracţiunilor din justiţie” din Legea nr. 304/2004 privind organizarea judiciară, republicată în Monitorul Oficial al României, Partea I, nr. </w:t>
      </w:r>
      <w:r w:rsidR="00B20594" w:rsidRPr="00E511DF">
        <w:rPr>
          <w:rFonts w:ascii="Trebuchet MS" w:hAnsi="Trebuchet MS"/>
          <w:iCs/>
        </w:rPr>
        <w:t xml:space="preserve">r. 827 din 13 septembrie 2005, cu modificările și completările ulterioare. </w:t>
      </w:r>
    </w:p>
    <w:p w14:paraId="0A031D51" w14:textId="16119F13" w:rsidR="00815D72" w:rsidRPr="00E511DF" w:rsidRDefault="002D41E8" w:rsidP="00513827">
      <w:pPr>
        <w:spacing w:before="60" w:after="0" w:line="264" w:lineRule="auto"/>
        <w:jc w:val="both"/>
        <w:rPr>
          <w:rFonts w:ascii="Trebuchet MS" w:hAnsi="Trebuchet MS"/>
        </w:rPr>
      </w:pPr>
      <w:r w:rsidRPr="00E511DF">
        <w:rPr>
          <w:rFonts w:ascii="Trebuchet MS" w:hAnsi="Trebuchet MS"/>
          <w:b/>
          <w:iCs/>
        </w:rPr>
        <w:t xml:space="preserve"> </w:t>
      </w:r>
      <w:r w:rsidR="007A194B" w:rsidRPr="00E511DF">
        <w:rPr>
          <w:rFonts w:ascii="Trebuchet MS" w:hAnsi="Trebuchet MS"/>
        </w:rPr>
        <w:t xml:space="preserve"> </w:t>
      </w:r>
    </w:p>
    <w:sectPr w:rsidR="00815D72" w:rsidRPr="00E511D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D73C0" w14:textId="77777777" w:rsidR="00F618C2" w:rsidRDefault="00F618C2" w:rsidP="009A3FD4">
      <w:pPr>
        <w:spacing w:after="0" w:line="240" w:lineRule="auto"/>
      </w:pPr>
      <w:r>
        <w:separator/>
      </w:r>
    </w:p>
  </w:endnote>
  <w:endnote w:type="continuationSeparator" w:id="0">
    <w:p w14:paraId="0B3D8589" w14:textId="77777777" w:rsidR="00F618C2" w:rsidRDefault="00F618C2" w:rsidP="009A3FD4">
      <w:pPr>
        <w:spacing w:after="0" w:line="240" w:lineRule="auto"/>
      </w:pPr>
      <w:r>
        <w:continuationSeparator/>
      </w:r>
    </w:p>
  </w:endnote>
  <w:endnote w:type="continuationNotice" w:id="1">
    <w:p w14:paraId="6131A280" w14:textId="77777777" w:rsidR="00F618C2" w:rsidRDefault="00F61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255156"/>
      <w:docPartObj>
        <w:docPartGallery w:val="Page Numbers (Bottom of Page)"/>
        <w:docPartUnique/>
      </w:docPartObj>
    </w:sdtPr>
    <w:sdtEndPr>
      <w:rPr>
        <w:noProof/>
      </w:rPr>
    </w:sdtEndPr>
    <w:sdtContent>
      <w:p w14:paraId="1A62DFDF" w14:textId="77777777" w:rsidR="00205568" w:rsidRDefault="00205568">
        <w:pPr>
          <w:pStyle w:val="Footer"/>
          <w:jc w:val="center"/>
        </w:pPr>
        <w:r>
          <w:fldChar w:fldCharType="begin"/>
        </w:r>
        <w:r>
          <w:instrText xml:space="preserve"> PAGE   \* MERGEFORMAT </w:instrText>
        </w:r>
        <w:r>
          <w:fldChar w:fldCharType="separate"/>
        </w:r>
        <w:r w:rsidR="00E05B92">
          <w:rPr>
            <w:noProof/>
          </w:rPr>
          <w:t>1</w:t>
        </w:r>
        <w:r>
          <w:rPr>
            <w:noProof/>
          </w:rPr>
          <w:fldChar w:fldCharType="end"/>
        </w:r>
      </w:p>
    </w:sdtContent>
  </w:sdt>
  <w:p w14:paraId="5E333AF6" w14:textId="77777777" w:rsidR="00205568" w:rsidRDefault="00205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72ACC" w14:textId="77777777" w:rsidR="00F618C2" w:rsidRDefault="00F618C2" w:rsidP="009A3FD4">
      <w:pPr>
        <w:spacing w:after="0" w:line="240" w:lineRule="auto"/>
      </w:pPr>
      <w:r>
        <w:separator/>
      </w:r>
    </w:p>
  </w:footnote>
  <w:footnote w:type="continuationSeparator" w:id="0">
    <w:p w14:paraId="65643717" w14:textId="77777777" w:rsidR="00F618C2" w:rsidRDefault="00F618C2" w:rsidP="009A3FD4">
      <w:pPr>
        <w:spacing w:after="0" w:line="240" w:lineRule="auto"/>
      </w:pPr>
      <w:r>
        <w:continuationSeparator/>
      </w:r>
    </w:p>
  </w:footnote>
  <w:footnote w:type="continuationNotice" w:id="1">
    <w:p w14:paraId="7E91C3D0" w14:textId="77777777" w:rsidR="00F618C2" w:rsidRDefault="00F618C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5364"/>
    <w:multiLevelType w:val="hybridMultilevel"/>
    <w:tmpl w:val="62A246F2"/>
    <w:lvl w:ilvl="0" w:tplc="A6DE1DE6">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3B3C94"/>
    <w:multiLevelType w:val="hybridMultilevel"/>
    <w:tmpl w:val="E4F2B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B7"/>
    <w:rsid w:val="00001A09"/>
    <w:rsid w:val="00004299"/>
    <w:rsid w:val="0002187E"/>
    <w:rsid w:val="00021DCF"/>
    <w:rsid w:val="00030B68"/>
    <w:rsid w:val="00031BE3"/>
    <w:rsid w:val="00054CDF"/>
    <w:rsid w:val="00061100"/>
    <w:rsid w:val="00063864"/>
    <w:rsid w:val="00071940"/>
    <w:rsid w:val="0009578B"/>
    <w:rsid w:val="000B284D"/>
    <w:rsid w:val="000B4737"/>
    <w:rsid w:val="000D51C6"/>
    <w:rsid w:val="00105558"/>
    <w:rsid w:val="00116CA0"/>
    <w:rsid w:val="001326FB"/>
    <w:rsid w:val="00140573"/>
    <w:rsid w:val="0014216D"/>
    <w:rsid w:val="00142C71"/>
    <w:rsid w:val="0014636F"/>
    <w:rsid w:val="00150CEC"/>
    <w:rsid w:val="0015351F"/>
    <w:rsid w:val="00170511"/>
    <w:rsid w:val="001739EB"/>
    <w:rsid w:val="001A5A35"/>
    <w:rsid w:val="001B5D23"/>
    <w:rsid w:val="001C5F3A"/>
    <w:rsid w:val="001D2665"/>
    <w:rsid w:val="001D286E"/>
    <w:rsid w:val="001E7CEA"/>
    <w:rsid w:val="001F0D2A"/>
    <w:rsid w:val="001F7038"/>
    <w:rsid w:val="002054A8"/>
    <w:rsid w:val="00205568"/>
    <w:rsid w:val="00213A44"/>
    <w:rsid w:val="002519CC"/>
    <w:rsid w:val="002557C9"/>
    <w:rsid w:val="00260140"/>
    <w:rsid w:val="00260F41"/>
    <w:rsid w:val="00261370"/>
    <w:rsid w:val="00262D5C"/>
    <w:rsid w:val="00267D1A"/>
    <w:rsid w:val="00270B86"/>
    <w:rsid w:val="00282E7E"/>
    <w:rsid w:val="002903BA"/>
    <w:rsid w:val="00291404"/>
    <w:rsid w:val="00292F9D"/>
    <w:rsid w:val="0029461F"/>
    <w:rsid w:val="002D0938"/>
    <w:rsid w:val="002D41E8"/>
    <w:rsid w:val="002D62D0"/>
    <w:rsid w:val="002E1F99"/>
    <w:rsid w:val="002E52CA"/>
    <w:rsid w:val="002F6EBB"/>
    <w:rsid w:val="003074DC"/>
    <w:rsid w:val="003360B0"/>
    <w:rsid w:val="00336F08"/>
    <w:rsid w:val="0034059C"/>
    <w:rsid w:val="00340AF3"/>
    <w:rsid w:val="00345968"/>
    <w:rsid w:val="00350ABF"/>
    <w:rsid w:val="00352BA2"/>
    <w:rsid w:val="00365B73"/>
    <w:rsid w:val="00373AE8"/>
    <w:rsid w:val="00394E7C"/>
    <w:rsid w:val="003A2649"/>
    <w:rsid w:val="003A32B4"/>
    <w:rsid w:val="003A6186"/>
    <w:rsid w:val="003B25D4"/>
    <w:rsid w:val="003B2D28"/>
    <w:rsid w:val="003C704D"/>
    <w:rsid w:val="003E7C5A"/>
    <w:rsid w:val="003F0D6E"/>
    <w:rsid w:val="003F3F67"/>
    <w:rsid w:val="004205F5"/>
    <w:rsid w:val="00421B66"/>
    <w:rsid w:val="00424B9D"/>
    <w:rsid w:val="00425ED7"/>
    <w:rsid w:val="00430646"/>
    <w:rsid w:val="00435798"/>
    <w:rsid w:val="004554F9"/>
    <w:rsid w:val="004569DD"/>
    <w:rsid w:val="00460819"/>
    <w:rsid w:val="0046481B"/>
    <w:rsid w:val="004709DF"/>
    <w:rsid w:val="004729F1"/>
    <w:rsid w:val="00475FAB"/>
    <w:rsid w:val="004B61AD"/>
    <w:rsid w:val="004C50CA"/>
    <w:rsid w:val="004E592F"/>
    <w:rsid w:val="004F3F83"/>
    <w:rsid w:val="004F4820"/>
    <w:rsid w:val="00513827"/>
    <w:rsid w:val="0051554A"/>
    <w:rsid w:val="00526619"/>
    <w:rsid w:val="00550023"/>
    <w:rsid w:val="005509F2"/>
    <w:rsid w:val="00556D44"/>
    <w:rsid w:val="00560D27"/>
    <w:rsid w:val="005641BF"/>
    <w:rsid w:val="00581591"/>
    <w:rsid w:val="00583C06"/>
    <w:rsid w:val="005B77B5"/>
    <w:rsid w:val="005F4C82"/>
    <w:rsid w:val="006052CB"/>
    <w:rsid w:val="00614870"/>
    <w:rsid w:val="00624643"/>
    <w:rsid w:val="00637319"/>
    <w:rsid w:val="00650F0D"/>
    <w:rsid w:val="006571A7"/>
    <w:rsid w:val="006606C7"/>
    <w:rsid w:val="0067284B"/>
    <w:rsid w:val="006C0074"/>
    <w:rsid w:val="007061DD"/>
    <w:rsid w:val="007138D6"/>
    <w:rsid w:val="007261E0"/>
    <w:rsid w:val="007279A5"/>
    <w:rsid w:val="0076007F"/>
    <w:rsid w:val="00780859"/>
    <w:rsid w:val="00786DBB"/>
    <w:rsid w:val="00794D7C"/>
    <w:rsid w:val="007A194B"/>
    <w:rsid w:val="007A4C3C"/>
    <w:rsid w:val="007B71C7"/>
    <w:rsid w:val="007E5ED7"/>
    <w:rsid w:val="00802AE5"/>
    <w:rsid w:val="0080764E"/>
    <w:rsid w:val="008148C7"/>
    <w:rsid w:val="00815D72"/>
    <w:rsid w:val="008539D3"/>
    <w:rsid w:val="00877ECE"/>
    <w:rsid w:val="00892118"/>
    <w:rsid w:val="008930ED"/>
    <w:rsid w:val="008B626A"/>
    <w:rsid w:val="008C4138"/>
    <w:rsid w:val="008D39B8"/>
    <w:rsid w:val="008E00B3"/>
    <w:rsid w:val="008F72DD"/>
    <w:rsid w:val="009068E0"/>
    <w:rsid w:val="009210BE"/>
    <w:rsid w:val="00922A42"/>
    <w:rsid w:val="009262D5"/>
    <w:rsid w:val="00934314"/>
    <w:rsid w:val="00937E4E"/>
    <w:rsid w:val="00952E40"/>
    <w:rsid w:val="009730CE"/>
    <w:rsid w:val="009927C3"/>
    <w:rsid w:val="009A3FD4"/>
    <w:rsid w:val="009B5C20"/>
    <w:rsid w:val="009C1C05"/>
    <w:rsid w:val="009D49D4"/>
    <w:rsid w:val="009E272D"/>
    <w:rsid w:val="009E2AC1"/>
    <w:rsid w:val="009E300B"/>
    <w:rsid w:val="00A06EF1"/>
    <w:rsid w:val="00A07460"/>
    <w:rsid w:val="00A2431E"/>
    <w:rsid w:val="00A32FF3"/>
    <w:rsid w:val="00A3399B"/>
    <w:rsid w:val="00A35CFF"/>
    <w:rsid w:val="00A36135"/>
    <w:rsid w:val="00A4199E"/>
    <w:rsid w:val="00A52C7B"/>
    <w:rsid w:val="00A546D6"/>
    <w:rsid w:val="00A55053"/>
    <w:rsid w:val="00A64418"/>
    <w:rsid w:val="00A66C2D"/>
    <w:rsid w:val="00A90922"/>
    <w:rsid w:val="00A9514C"/>
    <w:rsid w:val="00AA5A43"/>
    <w:rsid w:val="00AB0FEE"/>
    <w:rsid w:val="00AB21FE"/>
    <w:rsid w:val="00AB775B"/>
    <w:rsid w:val="00AC06C3"/>
    <w:rsid w:val="00AD04FB"/>
    <w:rsid w:val="00B04907"/>
    <w:rsid w:val="00B16589"/>
    <w:rsid w:val="00B20594"/>
    <w:rsid w:val="00B20903"/>
    <w:rsid w:val="00B256B5"/>
    <w:rsid w:val="00B63C8B"/>
    <w:rsid w:val="00B6400E"/>
    <w:rsid w:val="00B658B9"/>
    <w:rsid w:val="00B707DC"/>
    <w:rsid w:val="00B83690"/>
    <w:rsid w:val="00B841E4"/>
    <w:rsid w:val="00BA010F"/>
    <w:rsid w:val="00BA166C"/>
    <w:rsid w:val="00BB16C6"/>
    <w:rsid w:val="00BB3F27"/>
    <w:rsid w:val="00BB5AD1"/>
    <w:rsid w:val="00BC0D59"/>
    <w:rsid w:val="00BE0B26"/>
    <w:rsid w:val="00BE59A9"/>
    <w:rsid w:val="00C167AF"/>
    <w:rsid w:val="00C77D76"/>
    <w:rsid w:val="00CA3981"/>
    <w:rsid w:val="00CB44B9"/>
    <w:rsid w:val="00CC6993"/>
    <w:rsid w:val="00CF7759"/>
    <w:rsid w:val="00D0286C"/>
    <w:rsid w:val="00D12BE1"/>
    <w:rsid w:val="00D27769"/>
    <w:rsid w:val="00D31E79"/>
    <w:rsid w:val="00D7019A"/>
    <w:rsid w:val="00D72025"/>
    <w:rsid w:val="00D76343"/>
    <w:rsid w:val="00D864B2"/>
    <w:rsid w:val="00D93625"/>
    <w:rsid w:val="00DA06A3"/>
    <w:rsid w:val="00DD3DC2"/>
    <w:rsid w:val="00DD6D6B"/>
    <w:rsid w:val="00DE07ED"/>
    <w:rsid w:val="00DE2426"/>
    <w:rsid w:val="00DF60B4"/>
    <w:rsid w:val="00E05B92"/>
    <w:rsid w:val="00E22B64"/>
    <w:rsid w:val="00E33124"/>
    <w:rsid w:val="00E41A72"/>
    <w:rsid w:val="00E45966"/>
    <w:rsid w:val="00E511DF"/>
    <w:rsid w:val="00E5179E"/>
    <w:rsid w:val="00E635BE"/>
    <w:rsid w:val="00E703E9"/>
    <w:rsid w:val="00E77B80"/>
    <w:rsid w:val="00E850D7"/>
    <w:rsid w:val="00E90AF7"/>
    <w:rsid w:val="00EC53EC"/>
    <w:rsid w:val="00ED2674"/>
    <w:rsid w:val="00ED267E"/>
    <w:rsid w:val="00ED69BE"/>
    <w:rsid w:val="00EE136C"/>
    <w:rsid w:val="00F618C2"/>
    <w:rsid w:val="00F6579A"/>
    <w:rsid w:val="00F702F5"/>
    <w:rsid w:val="00F71A62"/>
    <w:rsid w:val="00F8259A"/>
    <w:rsid w:val="00F87F46"/>
    <w:rsid w:val="00F90B2A"/>
    <w:rsid w:val="00FB3025"/>
    <w:rsid w:val="00FD0BB7"/>
    <w:rsid w:val="00FE40E7"/>
    <w:rsid w:val="00FF56A7"/>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59A3"/>
  <w15:chartTrackingRefBased/>
  <w15:docId w15:val="{6955BF89-C369-4994-93AE-6DE0CDE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4299"/>
    <w:pPr>
      <w:spacing w:after="0" w:line="240" w:lineRule="auto"/>
    </w:pPr>
    <w:rPr>
      <w:rFonts w:ascii="Trebuchet MS" w:eastAsia="Times New Roman" w:hAnsi="Trebuchet MS" w:cs="Times New Roman"/>
      <w:szCs w:val="21"/>
    </w:rPr>
  </w:style>
  <w:style w:type="character" w:customStyle="1" w:styleId="PlainTextChar">
    <w:name w:val="Plain Text Char"/>
    <w:basedOn w:val="DefaultParagraphFont"/>
    <w:link w:val="PlainText"/>
    <w:uiPriority w:val="99"/>
    <w:semiHidden/>
    <w:rsid w:val="00004299"/>
    <w:rPr>
      <w:rFonts w:ascii="Trebuchet MS" w:eastAsia="Times New Roman" w:hAnsi="Trebuchet MS" w:cs="Times New Roman"/>
      <w:szCs w:val="21"/>
      <w:lang w:val="ro-RO"/>
    </w:rPr>
  </w:style>
  <w:style w:type="paragraph" w:styleId="BalloonText">
    <w:name w:val="Balloon Text"/>
    <w:basedOn w:val="Normal"/>
    <w:link w:val="BalloonTextChar"/>
    <w:uiPriority w:val="99"/>
    <w:semiHidden/>
    <w:unhideWhenUsed/>
    <w:rsid w:val="00AD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FB"/>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9A3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FD4"/>
    <w:rPr>
      <w:sz w:val="20"/>
      <w:szCs w:val="20"/>
      <w:lang w:val="ro-RO"/>
    </w:rPr>
  </w:style>
  <w:style w:type="character" w:styleId="FootnoteReference">
    <w:name w:val="footnote reference"/>
    <w:basedOn w:val="DefaultParagraphFont"/>
    <w:uiPriority w:val="99"/>
    <w:semiHidden/>
    <w:unhideWhenUsed/>
    <w:rsid w:val="009A3FD4"/>
    <w:rPr>
      <w:vertAlign w:val="superscript"/>
    </w:rPr>
  </w:style>
  <w:style w:type="character" w:styleId="CommentReference">
    <w:name w:val="annotation reference"/>
    <w:basedOn w:val="DefaultParagraphFont"/>
    <w:uiPriority w:val="99"/>
    <w:semiHidden/>
    <w:unhideWhenUsed/>
    <w:rsid w:val="00CB44B9"/>
    <w:rPr>
      <w:sz w:val="16"/>
      <w:szCs w:val="16"/>
    </w:rPr>
  </w:style>
  <w:style w:type="paragraph" w:styleId="CommentText">
    <w:name w:val="annotation text"/>
    <w:basedOn w:val="Normal"/>
    <w:link w:val="CommentTextChar"/>
    <w:uiPriority w:val="99"/>
    <w:unhideWhenUsed/>
    <w:rsid w:val="00CB44B9"/>
    <w:pPr>
      <w:spacing w:line="240" w:lineRule="auto"/>
    </w:pPr>
    <w:rPr>
      <w:sz w:val="20"/>
      <w:szCs w:val="20"/>
    </w:rPr>
  </w:style>
  <w:style w:type="character" w:customStyle="1" w:styleId="CommentTextChar">
    <w:name w:val="Comment Text Char"/>
    <w:basedOn w:val="DefaultParagraphFont"/>
    <w:link w:val="CommentText"/>
    <w:uiPriority w:val="99"/>
    <w:rsid w:val="00CB44B9"/>
    <w:rPr>
      <w:sz w:val="20"/>
      <w:szCs w:val="20"/>
      <w:lang w:val="ro-RO"/>
    </w:rPr>
  </w:style>
  <w:style w:type="paragraph" w:styleId="CommentSubject">
    <w:name w:val="annotation subject"/>
    <w:basedOn w:val="CommentText"/>
    <w:next w:val="CommentText"/>
    <w:link w:val="CommentSubjectChar"/>
    <w:uiPriority w:val="99"/>
    <w:semiHidden/>
    <w:unhideWhenUsed/>
    <w:rsid w:val="00CB44B9"/>
    <w:rPr>
      <w:b/>
      <w:bCs/>
    </w:rPr>
  </w:style>
  <w:style w:type="character" w:customStyle="1" w:styleId="CommentSubjectChar">
    <w:name w:val="Comment Subject Char"/>
    <w:basedOn w:val="CommentTextChar"/>
    <w:link w:val="CommentSubject"/>
    <w:uiPriority w:val="99"/>
    <w:semiHidden/>
    <w:rsid w:val="00CB44B9"/>
    <w:rPr>
      <w:b/>
      <w:bCs/>
      <w:sz w:val="20"/>
      <w:szCs w:val="20"/>
      <w:lang w:val="ro-RO"/>
    </w:rPr>
  </w:style>
  <w:style w:type="paragraph" w:styleId="ListParagraph">
    <w:name w:val="List Paragraph"/>
    <w:basedOn w:val="Normal"/>
    <w:uiPriority w:val="34"/>
    <w:qFormat/>
    <w:rsid w:val="009210BE"/>
    <w:pPr>
      <w:ind w:left="720"/>
      <w:contextualSpacing/>
    </w:pPr>
  </w:style>
  <w:style w:type="paragraph" w:styleId="Header">
    <w:name w:val="header"/>
    <w:basedOn w:val="Normal"/>
    <w:link w:val="HeaderChar"/>
    <w:uiPriority w:val="99"/>
    <w:unhideWhenUsed/>
    <w:rsid w:val="0020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68"/>
    <w:rPr>
      <w:lang w:val="ro-RO"/>
    </w:rPr>
  </w:style>
  <w:style w:type="paragraph" w:styleId="Footer">
    <w:name w:val="footer"/>
    <w:basedOn w:val="Normal"/>
    <w:link w:val="FooterChar"/>
    <w:uiPriority w:val="99"/>
    <w:unhideWhenUsed/>
    <w:rsid w:val="00205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68"/>
    <w:rPr>
      <w:lang w:val="ro-RO"/>
    </w:rPr>
  </w:style>
  <w:style w:type="character" w:styleId="Hyperlink">
    <w:name w:val="Hyperlink"/>
    <w:basedOn w:val="DefaultParagraphFont"/>
    <w:uiPriority w:val="99"/>
    <w:unhideWhenUsed/>
    <w:rsid w:val="005F4C82"/>
    <w:rPr>
      <w:color w:val="0563C1" w:themeColor="hyperlink"/>
      <w:u w:val="single"/>
    </w:rPr>
  </w:style>
  <w:style w:type="table" w:styleId="TableGrid">
    <w:name w:val="Table Grid"/>
    <w:basedOn w:val="TableNormal"/>
    <w:uiPriority w:val="39"/>
    <w:rsid w:val="0061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0426">
      <w:bodyDiv w:val="1"/>
      <w:marLeft w:val="0"/>
      <w:marRight w:val="0"/>
      <w:marTop w:val="0"/>
      <w:marBottom w:val="0"/>
      <w:divBdr>
        <w:top w:val="none" w:sz="0" w:space="0" w:color="auto"/>
        <w:left w:val="none" w:sz="0" w:space="0" w:color="auto"/>
        <w:bottom w:val="none" w:sz="0" w:space="0" w:color="auto"/>
        <w:right w:val="none" w:sz="0" w:space="0" w:color="auto"/>
      </w:divBdr>
    </w:div>
    <w:div w:id="459298641">
      <w:bodyDiv w:val="1"/>
      <w:marLeft w:val="0"/>
      <w:marRight w:val="0"/>
      <w:marTop w:val="0"/>
      <w:marBottom w:val="0"/>
      <w:divBdr>
        <w:top w:val="none" w:sz="0" w:space="0" w:color="auto"/>
        <w:left w:val="none" w:sz="0" w:space="0" w:color="auto"/>
        <w:bottom w:val="none" w:sz="0" w:space="0" w:color="auto"/>
        <w:right w:val="none" w:sz="0" w:space="0" w:color="auto"/>
      </w:divBdr>
    </w:div>
    <w:div w:id="652761121">
      <w:bodyDiv w:val="1"/>
      <w:marLeft w:val="0"/>
      <w:marRight w:val="0"/>
      <w:marTop w:val="0"/>
      <w:marBottom w:val="0"/>
      <w:divBdr>
        <w:top w:val="none" w:sz="0" w:space="0" w:color="auto"/>
        <w:left w:val="none" w:sz="0" w:space="0" w:color="auto"/>
        <w:bottom w:val="none" w:sz="0" w:space="0" w:color="auto"/>
        <w:right w:val="none" w:sz="0" w:space="0" w:color="auto"/>
      </w:divBdr>
    </w:div>
    <w:div w:id="14562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zdqmbrgm/legea-nr-317-2004-privind-consiliul-superior-al-magistraturii?d=01.09.2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A409-6CD2-4926-B101-BCAC93E2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2</cp:revision>
  <cp:lastPrinted>2020-01-28T13:15:00Z</cp:lastPrinted>
  <dcterms:created xsi:type="dcterms:W3CDTF">2020-02-04T12:19:00Z</dcterms:created>
  <dcterms:modified xsi:type="dcterms:W3CDTF">2020-02-04T12:19:00Z</dcterms:modified>
</cp:coreProperties>
</file>