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39D" w:rsidRPr="00041E6A" w:rsidRDefault="0053339D" w:rsidP="0053339D">
      <w:pPr>
        <w:jc w:val="center"/>
        <w:rPr>
          <w:rFonts w:ascii="Trebuchet MS" w:hAnsi="Trebuchet MS"/>
          <w:b/>
        </w:rPr>
      </w:pPr>
      <w:bookmarkStart w:id="0" w:name="_GoBack"/>
      <w:bookmarkEnd w:id="0"/>
      <w:r w:rsidRPr="00041E6A">
        <w:rPr>
          <w:rFonts w:ascii="Trebuchet MS" w:hAnsi="Trebuchet MS"/>
          <w:b/>
        </w:rPr>
        <w:t>Ordonanță de urgență a Guvernului privind unele măsuri pentru soluționarea proceselor privind salarizarea personalului plătit din fonduri publice, precum și a proceselor privind prestații de asigurări sociale</w:t>
      </w:r>
    </w:p>
    <w:p w:rsidR="0053339D" w:rsidRPr="00041E6A" w:rsidRDefault="0053339D" w:rsidP="0053339D">
      <w:pPr>
        <w:jc w:val="both"/>
        <w:rPr>
          <w:rFonts w:ascii="Trebuchet MS" w:hAnsi="Trebuchet MS"/>
        </w:rPr>
      </w:pPr>
      <w:r w:rsidRPr="00041E6A">
        <w:rPr>
          <w:rFonts w:ascii="Trebuchet MS" w:hAnsi="Trebuchet MS"/>
        </w:rPr>
        <w:t xml:space="preserve">Ținând seama de necesitatea asigurării de urgență a unei practici judiciare uniforme și unitare – care să elimine diferențierile în materia stabilirii/plății drepturilor salariale ale personalului plătit din fonduri publice -, care își răsfrânge beneficiile atât pe planul înfăptuirii justiției în mod egal și al asigurării egalității în fața legii, cât și asupra raporturilor </w:t>
      </w:r>
      <w:proofErr w:type="spellStart"/>
      <w:r w:rsidRPr="00041E6A">
        <w:rPr>
          <w:rFonts w:ascii="Trebuchet MS" w:hAnsi="Trebuchet MS"/>
        </w:rPr>
        <w:t>socio</w:t>
      </w:r>
      <w:proofErr w:type="spellEnd"/>
      <w:r w:rsidRPr="00041E6A">
        <w:rPr>
          <w:rFonts w:ascii="Trebuchet MS" w:hAnsi="Trebuchet MS"/>
        </w:rPr>
        <w:t>-economice,</w:t>
      </w:r>
    </w:p>
    <w:p w:rsidR="0053339D" w:rsidRPr="00041E6A" w:rsidRDefault="0053339D" w:rsidP="0053339D">
      <w:pPr>
        <w:jc w:val="both"/>
        <w:rPr>
          <w:rFonts w:ascii="Trebuchet MS" w:hAnsi="Trebuchet MS"/>
        </w:rPr>
      </w:pPr>
      <w:r w:rsidRPr="00041E6A">
        <w:rPr>
          <w:rFonts w:ascii="Trebuchet MS" w:hAnsi="Trebuchet MS"/>
          <w:color w:val="000000"/>
          <w:shd w:val="clear" w:color="auto" w:fill="FFFFFF"/>
        </w:rPr>
        <w:t xml:space="preserve">ținând cont de faptul că justiția reprezintă un factor esențial de echilibru și stabilitate socială într-un stat de drept și că în realizarea deplină a acestui rol se impun o unificare a practicii judiciare și o asigurare a stabilității raporturilor juridice, inclusiv în domeniul stabilirii drepturilor salariale </w:t>
      </w:r>
      <w:r w:rsidRPr="00041E6A">
        <w:rPr>
          <w:rFonts w:ascii="Trebuchet MS" w:hAnsi="Trebuchet MS"/>
        </w:rPr>
        <w:t>ale personalului plătit din fonduri publice</w:t>
      </w:r>
      <w:r w:rsidRPr="00041E6A">
        <w:rPr>
          <w:rFonts w:ascii="Trebuchet MS" w:hAnsi="Trebuchet MS"/>
          <w:color w:val="000000"/>
          <w:shd w:val="clear" w:color="auto" w:fill="FFFFFF"/>
        </w:rPr>
        <w:t>,</w:t>
      </w:r>
    </w:p>
    <w:p w:rsidR="0053339D" w:rsidRPr="00041E6A" w:rsidRDefault="0053339D" w:rsidP="0053339D">
      <w:pPr>
        <w:jc w:val="both"/>
        <w:rPr>
          <w:rFonts w:ascii="Trebuchet MS" w:hAnsi="Trebuchet MS"/>
        </w:rPr>
      </w:pPr>
      <w:r w:rsidRPr="00041E6A">
        <w:rPr>
          <w:rFonts w:ascii="Trebuchet MS" w:hAnsi="Trebuchet MS"/>
        </w:rPr>
        <w:t>în considerarea rolului constituțional al Înaltei Curți de Casație și Justiție, consacrat prin art. 126 alin. (3) din Constituția României, de asigurare a interpretării și aplicării unitare a legii de către toate instanțele judecătorești,</w:t>
      </w:r>
    </w:p>
    <w:p w:rsidR="0053339D" w:rsidRPr="00041E6A" w:rsidRDefault="0053339D" w:rsidP="0053339D">
      <w:pPr>
        <w:jc w:val="both"/>
        <w:rPr>
          <w:rFonts w:ascii="Trebuchet MS" w:hAnsi="Trebuchet MS" w:cstheme="minorHAnsi"/>
        </w:rPr>
      </w:pPr>
      <w:r w:rsidRPr="00041E6A">
        <w:rPr>
          <w:rFonts w:ascii="Trebuchet MS" w:hAnsi="Trebuchet MS"/>
        </w:rPr>
        <w:t>constatându-se existența unui fenomen generalizat și cu tendințe de permanentizare de practică judiciară neunitară la nivelul instanțelor judecătorești care soluționează procese privitoare la stabilirea și/sau plata drepturilor salariale sau de natură salarială ale personalului plătit din fonduri publice, precum și litigii referitoare la</w:t>
      </w:r>
      <w:r w:rsidRPr="00041E6A">
        <w:rPr>
          <w:rFonts w:ascii="Trebuchet MS" w:hAnsi="Trebuchet MS" w:cstheme="minorHAnsi"/>
        </w:rPr>
        <w:t xml:space="preserve"> stabilirea și/sau plata drepturilor la pensie și a</w:t>
      </w:r>
      <w:r w:rsidR="00781661">
        <w:rPr>
          <w:rFonts w:ascii="Trebuchet MS" w:hAnsi="Trebuchet MS" w:cstheme="minorHAnsi"/>
        </w:rPr>
        <w:t xml:space="preserve"> altor</w:t>
      </w:r>
      <w:r w:rsidRPr="00041E6A">
        <w:rPr>
          <w:rFonts w:ascii="Trebuchet MS" w:hAnsi="Trebuchet MS" w:cstheme="minorHAnsi"/>
        </w:rPr>
        <w:t xml:space="preserve"> prestații de asigurări sociale ale acestui personal,</w:t>
      </w:r>
    </w:p>
    <w:p w:rsidR="0053339D" w:rsidRPr="00041E6A" w:rsidRDefault="0053339D" w:rsidP="0053339D">
      <w:pPr>
        <w:jc w:val="both"/>
        <w:rPr>
          <w:rFonts w:ascii="Trebuchet MS" w:hAnsi="Trebuchet MS"/>
        </w:rPr>
      </w:pPr>
      <w:r w:rsidRPr="00041E6A">
        <w:rPr>
          <w:rFonts w:ascii="Trebuchet MS" w:hAnsi="Trebuchet MS"/>
        </w:rPr>
        <w:t>având în atenție necesitatea identificării unor remedii procedurale eficiente care să asigure îndeplinirea dezideratului unei practici judiciare unitare în materia supusă reglementării, dar, în același timp, să nu impieteze asupra bunei funcționări a întregului sistem judiciar,</w:t>
      </w:r>
    </w:p>
    <w:p w:rsidR="0053339D" w:rsidRPr="00041E6A" w:rsidRDefault="0053339D" w:rsidP="0053339D">
      <w:pPr>
        <w:jc w:val="both"/>
        <w:rPr>
          <w:rFonts w:ascii="Trebuchet MS" w:hAnsi="Trebuchet MS"/>
        </w:rPr>
      </w:pPr>
      <w:r w:rsidRPr="00041E6A">
        <w:rPr>
          <w:rFonts w:ascii="Trebuchet MS" w:hAnsi="Trebuchet MS"/>
        </w:rPr>
        <w:t>ținând cont de configurația actuală a mecanismului hotărârii prealabile pentru dezlegarea unor chestiuni de drept și de efectul obligativității hotărârii pe care o pronunță Înalta Curte de Casație și Justiție, în deplin acord cu îndatorirea sa constituțională de asigurare a aplicării și interpretării unitare a legii de către toate instanțele judecătorești din România,</w:t>
      </w:r>
    </w:p>
    <w:p w:rsidR="0053339D" w:rsidRPr="00041E6A" w:rsidRDefault="0053339D" w:rsidP="0053339D">
      <w:pPr>
        <w:jc w:val="both"/>
        <w:rPr>
          <w:rFonts w:ascii="Trebuchet MS" w:hAnsi="Trebuchet MS"/>
        </w:rPr>
      </w:pPr>
      <w:r w:rsidRPr="00041E6A">
        <w:rPr>
          <w:rFonts w:ascii="Trebuchet MS" w:hAnsi="Trebuchet MS"/>
        </w:rPr>
        <w:t>în considerarea necesității încorporării facile a soluțiilor legislative anvizajate în angrenajul procedurii și justiției civile actuale, fără afectarea semnificativă a volumului de activitate al instanței supreme,</w:t>
      </w:r>
    </w:p>
    <w:p w:rsidR="0053339D" w:rsidRPr="00041E6A" w:rsidRDefault="0053339D" w:rsidP="0053339D">
      <w:pPr>
        <w:jc w:val="both"/>
        <w:rPr>
          <w:rFonts w:ascii="Trebuchet MS" w:hAnsi="Trebuchet MS"/>
        </w:rPr>
      </w:pPr>
      <w:r w:rsidRPr="00041E6A">
        <w:rPr>
          <w:rFonts w:ascii="Trebuchet MS" w:hAnsi="Trebuchet MS"/>
        </w:rPr>
        <w:t>având în vedere faptul că este imperios necesară acordarea priorității cuvenite principiul</w:t>
      </w:r>
      <w:r w:rsidR="00D361DD">
        <w:rPr>
          <w:rFonts w:ascii="Trebuchet MS" w:hAnsi="Trebuchet MS"/>
        </w:rPr>
        <w:t>ui</w:t>
      </w:r>
      <w:r w:rsidRPr="00041E6A">
        <w:rPr>
          <w:rFonts w:ascii="Trebuchet MS" w:hAnsi="Trebuchet MS"/>
        </w:rPr>
        <w:t xml:space="preserve"> asigurării unei practici judiciare unitare – manifestare a principiilor înfăptuirii justiției în mod unic, imparțial și egal, și, în general, al egalității în fața legii,</w:t>
      </w:r>
    </w:p>
    <w:p w:rsidR="0053339D" w:rsidRPr="00041E6A" w:rsidRDefault="0053339D" w:rsidP="0053339D">
      <w:pPr>
        <w:jc w:val="both"/>
        <w:rPr>
          <w:rFonts w:ascii="Trebuchet MS" w:hAnsi="Trebuchet MS"/>
        </w:rPr>
      </w:pPr>
      <w:r w:rsidRPr="00041E6A">
        <w:rPr>
          <w:rFonts w:ascii="Trebuchet MS" w:hAnsi="Trebuchet MS"/>
        </w:rPr>
        <w:t>ținând seama de faptul că măsurile legislative propuse pot influența pozitiv activitatea instanțelor judecătorești, în condițiile în care, încă dintr-o etapă incipientă, s-ar asigura clarificarea unor chestiuni dificile de drept,</w:t>
      </w:r>
    </w:p>
    <w:p w:rsidR="0053339D" w:rsidRPr="00041E6A" w:rsidRDefault="0053339D" w:rsidP="0053339D">
      <w:pPr>
        <w:jc w:val="both"/>
        <w:rPr>
          <w:rFonts w:ascii="Trebuchet MS" w:hAnsi="Trebuchet MS"/>
        </w:rPr>
      </w:pPr>
      <w:r w:rsidRPr="00041E6A">
        <w:rPr>
          <w:rFonts w:ascii="Trebuchet MS" w:hAnsi="Trebuchet MS"/>
        </w:rPr>
        <w:t>întrucât soluțiile pronunțate în aceste categorii de litigii au impact direct și considerabil asupra bugetului general consolidat, efect augmentat prin necesitatea asigurării egalității de tratament juridic, imperativ confirmat în practica Curții Constituționale din perspectiva principiului egalității în fața legii,</w:t>
      </w:r>
    </w:p>
    <w:p w:rsidR="0053339D" w:rsidRPr="00041E6A" w:rsidRDefault="0053339D" w:rsidP="0053339D">
      <w:pPr>
        <w:jc w:val="both"/>
        <w:rPr>
          <w:rFonts w:ascii="Trebuchet MS" w:hAnsi="Trebuchet MS"/>
        </w:rPr>
      </w:pPr>
      <w:r w:rsidRPr="00041E6A">
        <w:rPr>
          <w:rFonts w:ascii="Trebuchet MS" w:hAnsi="Trebuchet MS"/>
        </w:rPr>
        <w:t>dată fiind necesitatea înlăturării și, după caz, a prevenirii producerii urmărilor negative anterior expuse,</w:t>
      </w:r>
    </w:p>
    <w:p w:rsidR="0053339D" w:rsidRPr="00041E6A" w:rsidRDefault="0053339D" w:rsidP="0053339D">
      <w:pPr>
        <w:jc w:val="both"/>
        <w:rPr>
          <w:rFonts w:ascii="Trebuchet MS" w:hAnsi="Trebuchet MS"/>
        </w:rPr>
      </w:pPr>
      <w:r w:rsidRPr="00041E6A">
        <w:rPr>
          <w:rFonts w:ascii="Trebuchet MS" w:hAnsi="Trebuchet MS"/>
        </w:rPr>
        <w:t>în temeiul art. 115 alin. (4) din Constituția României, republicată,</w:t>
      </w:r>
    </w:p>
    <w:p w:rsidR="0053339D" w:rsidRPr="00041E6A" w:rsidRDefault="0053339D" w:rsidP="0053339D">
      <w:pPr>
        <w:jc w:val="both"/>
        <w:rPr>
          <w:rFonts w:ascii="Trebuchet MS" w:hAnsi="Trebuchet MS"/>
        </w:rPr>
      </w:pPr>
      <w:r w:rsidRPr="00041E6A">
        <w:rPr>
          <w:rFonts w:ascii="Trebuchet MS" w:hAnsi="Trebuchet MS"/>
        </w:rPr>
        <w:lastRenderedPageBreak/>
        <w:t>Guvernul României adoptă prezenta ordonanță de urgență.</w:t>
      </w:r>
    </w:p>
    <w:p w:rsidR="0053339D" w:rsidRPr="00041E6A" w:rsidRDefault="0053339D" w:rsidP="0053339D">
      <w:pPr>
        <w:jc w:val="both"/>
        <w:rPr>
          <w:rFonts w:ascii="Trebuchet MS" w:hAnsi="Trebuchet MS"/>
        </w:rPr>
      </w:pPr>
      <w:r w:rsidRPr="00041E6A">
        <w:rPr>
          <w:rFonts w:ascii="Trebuchet MS" w:hAnsi="Trebuchet MS"/>
        </w:rPr>
        <w:t>Art. 1. – (1) Prezenta ordonanță de urgență se aplică în procesele privitoare la stabilirea și/sau plata drepturilor salariale sau de natură salarială ale personalului plătit din fonduri publice, inclusiv cele privind obligarea la emiterea actelor administrative sau privind anularea actelor administrative emise pentru acest personal sau/și cele privind raporturile de muncă și de serviciu ale acestui personal.</w:t>
      </w:r>
    </w:p>
    <w:p w:rsidR="0053339D" w:rsidRPr="00041E6A" w:rsidRDefault="0053339D" w:rsidP="0053339D">
      <w:pPr>
        <w:jc w:val="both"/>
        <w:rPr>
          <w:rFonts w:ascii="Trebuchet MS" w:hAnsi="Trebuchet MS" w:cstheme="minorHAnsi"/>
        </w:rPr>
      </w:pPr>
      <w:r w:rsidRPr="00041E6A">
        <w:rPr>
          <w:rFonts w:ascii="Trebuchet MS" w:hAnsi="Trebuchet MS"/>
        </w:rPr>
        <w:t xml:space="preserve">(2) Prezenta ordonanța de urgență se aplică și în procesele </w:t>
      </w:r>
      <w:r w:rsidRPr="00041E6A">
        <w:rPr>
          <w:rFonts w:ascii="Trebuchet MS" w:hAnsi="Trebuchet MS" w:cstheme="minorHAnsi"/>
        </w:rPr>
        <w:t xml:space="preserve">privitoare la stabilirea și/sau plata drepturilor la pensie, inclusiv cele rezultate din actualizarea/recalcularea/revizuirea drepturilor la pensie sau/și cele privind alte prestații de asigurări sociale </w:t>
      </w:r>
      <w:r w:rsidRPr="00041E6A">
        <w:rPr>
          <w:rFonts w:ascii="Trebuchet MS" w:hAnsi="Trebuchet MS" w:cs="Times New Roman"/>
        </w:rPr>
        <w:t>ale personalului prevăzut la alin. (1)</w:t>
      </w:r>
      <w:r w:rsidRPr="00041E6A">
        <w:rPr>
          <w:rFonts w:ascii="Trebuchet MS" w:hAnsi="Trebuchet MS" w:cstheme="minorHAnsi"/>
        </w:rPr>
        <w:t>.</w:t>
      </w:r>
    </w:p>
    <w:p w:rsidR="0053339D" w:rsidRPr="00041E6A" w:rsidRDefault="0053339D" w:rsidP="0053339D">
      <w:pPr>
        <w:jc w:val="both"/>
        <w:rPr>
          <w:rFonts w:ascii="Trebuchet MS" w:hAnsi="Trebuchet MS"/>
        </w:rPr>
      </w:pPr>
      <w:r w:rsidRPr="00041E6A">
        <w:rPr>
          <w:rFonts w:ascii="Trebuchet MS" w:hAnsi="Trebuchet MS" w:cstheme="minorHAnsi"/>
        </w:rPr>
        <w:t>(3)</w:t>
      </w:r>
      <w:r w:rsidRPr="00041E6A">
        <w:rPr>
          <w:rFonts w:ascii="Trebuchet MS" w:hAnsi="Trebuchet MS"/>
        </w:rPr>
        <w:t xml:space="preserve"> Prezenta ordonanță de urgență se aplică indiferent de natura și obiectul proceselor prevăzute la alin. (1) și (2), de calitatea părților ori de instanța competentă să le soluționeze.</w:t>
      </w:r>
    </w:p>
    <w:p w:rsidR="0053339D" w:rsidRPr="00041E6A" w:rsidRDefault="0053339D" w:rsidP="0053339D">
      <w:pPr>
        <w:tabs>
          <w:tab w:val="left" w:pos="2554"/>
        </w:tabs>
        <w:jc w:val="both"/>
        <w:rPr>
          <w:rFonts w:ascii="Trebuchet MS" w:hAnsi="Trebuchet MS"/>
        </w:rPr>
      </w:pPr>
      <w:r w:rsidRPr="00041E6A">
        <w:rPr>
          <w:rFonts w:ascii="Trebuchet MS" w:hAnsi="Trebuchet MS"/>
        </w:rPr>
        <w:t xml:space="preserve">Art. 2. – (1) </w:t>
      </w:r>
      <w:r w:rsidRPr="00041E6A">
        <w:rPr>
          <w:rFonts w:ascii="Trebuchet MS" w:hAnsi="Trebuchet MS"/>
          <w:bCs/>
        </w:rPr>
        <w:t>D</w:t>
      </w:r>
      <w:r w:rsidRPr="00041E6A">
        <w:rPr>
          <w:rFonts w:ascii="Trebuchet MS" w:hAnsi="Trebuchet MS"/>
        </w:rPr>
        <w:t xml:space="preserve">acă în cursul judecății proceselor </w:t>
      </w:r>
      <w:r w:rsidRPr="00041E6A">
        <w:rPr>
          <w:rFonts w:ascii="Trebuchet MS" w:hAnsi="Trebuchet MS"/>
          <w:bCs/>
        </w:rPr>
        <w:t>prevăzute la art. 1,</w:t>
      </w:r>
      <w:r w:rsidRPr="00041E6A">
        <w:rPr>
          <w:rFonts w:ascii="Trebuchet MS" w:hAnsi="Trebuchet MS"/>
        </w:rPr>
        <w:t xml:space="preserve"> completul de judecată învestit cu soluționarea cauzei în primă instanță sau în calea de atac, </w:t>
      </w:r>
      <w:r w:rsidRPr="00041E6A">
        <w:rPr>
          <w:rFonts w:ascii="Trebuchet MS" w:hAnsi="Trebuchet MS"/>
          <w:bCs/>
        </w:rPr>
        <w:t>constatând că</w:t>
      </w:r>
      <w:r w:rsidRPr="00041E6A">
        <w:rPr>
          <w:rFonts w:ascii="Trebuchet MS" w:hAnsi="Trebuchet MS"/>
        </w:rPr>
        <w:t xml:space="preserve"> </w:t>
      </w:r>
      <w:r w:rsidRPr="00041E6A">
        <w:rPr>
          <w:rFonts w:ascii="Trebuchet MS" w:hAnsi="Trebuchet MS"/>
          <w:bCs/>
        </w:rPr>
        <w:t>asupra unei chestiuni</w:t>
      </w:r>
      <w:r w:rsidRPr="00041E6A">
        <w:rPr>
          <w:rFonts w:ascii="Trebuchet MS" w:hAnsi="Trebuchet MS"/>
        </w:rPr>
        <w:t xml:space="preserve"> de drept, de a cărei lămurire depinde soluționarea </w:t>
      </w:r>
      <w:r w:rsidRPr="00041E6A">
        <w:rPr>
          <w:rFonts w:ascii="Trebuchet MS" w:hAnsi="Trebuchet MS"/>
          <w:bCs/>
        </w:rPr>
        <w:t>pe fond</w:t>
      </w:r>
      <w:r w:rsidRPr="00041E6A">
        <w:rPr>
          <w:rFonts w:ascii="Trebuchet MS" w:hAnsi="Trebuchet MS"/>
        </w:rPr>
        <w:t xml:space="preserve"> a cauzei </w:t>
      </w:r>
      <w:r w:rsidRPr="00041E6A">
        <w:rPr>
          <w:rFonts w:ascii="Trebuchet MS" w:hAnsi="Trebuchet MS"/>
          <w:bCs/>
        </w:rPr>
        <w:t>respective</w:t>
      </w:r>
      <w:r w:rsidRPr="00041E6A">
        <w:rPr>
          <w:rFonts w:ascii="Trebuchet MS" w:hAnsi="Trebuchet MS"/>
        </w:rPr>
        <w:t xml:space="preserve">, Înalta Curte de Casație și Justiție </w:t>
      </w:r>
      <w:r w:rsidRPr="00041E6A">
        <w:rPr>
          <w:rFonts w:ascii="Trebuchet MS" w:hAnsi="Trebuchet MS"/>
          <w:bCs/>
        </w:rPr>
        <w:t>nu a statuat</w:t>
      </w:r>
      <w:r w:rsidRPr="00041E6A">
        <w:rPr>
          <w:rFonts w:ascii="Trebuchet MS" w:hAnsi="Trebuchet MS"/>
        </w:rPr>
        <w:t xml:space="preserve"> și </w:t>
      </w:r>
      <w:r w:rsidRPr="00041E6A">
        <w:rPr>
          <w:rFonts w:ascii="Trebuchet MS" w:hAnsi="Trebuchet MS"/>
          <w:bCs/>
        </w:rPr>
        <w:t>aceasta nici</w:t>
      </w:r>
      <w:r w:rsidRPr="00041E6A">
        <w:rPr>
          <w:rFonts w:ascii="Trebuchet MS" w:hAnsi="Trebuchet MS"/>
        </w:rPr>
        <w:t xml:space="preserve"> nu face obiectul unui recurs in interesul legii in curs de soluționare, va solicita Înaltei Curți de Casație și Justiție să pronunțe o hotărâre prin care să se dea rezolvare de principiu chestiunii de drept cu care a fost sesizată.</w:t>
      </w:r>
    </w:p>
    <w:p w:rsidR="0053339D" w:rsidRPr="00041E6A" w:rsidRDefault="0053339D" w:rsidP="0053339D">
      <w:pPr>
        <w:tabs>
          <w:tab w:val="left" w:pos="2554"/>
        </w:tabs>
        <w:jc w:val="both"/>
        <w:rPr>
          <w:rFonts w:ascii="Trebuchet MS" w:hAnsi="Trebuchet MS"/>
        </w:rPr>
      </w:pPr>
      <w:r w:rsidRPr="00041E6A">
        <w:rPr>
          <w:rFonts w:ascii="Trebuchet MS" w:hAnsi="Trebuchet MS"/>
        </w:rPr>
        <w:t>(2) Odată cu comunicarea către Înalta Curte de Casație și Justiție, încheierea de sesizare se transmite, în copie, prin poștă electronică, de către instanța de trimitere și celorlalte instanțe judecătorești competente să soluționeze, în primă instanță sau în calea de atac, procese de natura celui în care aceasta a fost formulată. Președinții instanțelor judecătorești competente, de îndată ce primesc copia încheierii de sesizare, iau măsurile necesare pentru informarea judecătorilor din secțiile corespunzătoare ale acelor instanțe.</w:t>
      </w:r>
    </w:p>
    <w:p w:rsidR="0053339D" w:rsidRPr="00041E6A" w:rsidRDefault="0053339D" w:rsidP="0053339D">
      <w:pPr>
        <w:tabs>
          <w:tab w:val="left" w:pos="2554"/>
        </w:tabs>
        <w:jc w:val="both"/>
        <w:rPr>
          <w:rFonts w:ascii="Trebuchet MS" w:hAnsi="Trebuchet MS"/>
          <w:color w:val="000000"/>
          <w:shd w:val="clear" w:color="auto" w:fill="FFFFFF"/>
        </w:rPr>
      </w:pPr>
      <w:r w:rsidRPr="00041E6A">
        <w:rPr>
          <w:rFonts w:ascii="Trebuchet MS" w:hAnsi="Trebuchet MS"/>
        </w:rPr>
        <w:t xml:space="preserve">(3) </w:t>
      </w:r>
      <w:r w:rsidRPr="00041E6A">
        <w:rPr>
          <w:rFonts w:ascii="Trebuchet MS" w:hAnsi="Trebuchet MS"/>
          <w:color w:val="000000"/>
          <w:shd w:val="clear" w:color="auto" w:fill="FFFFFF"/>
        </w:rPr>
        <w:t>Cauzele similare, aflate pe rolul instanțe</w:t>
      </w:r>
      <w:r>
        <w:rPr>
          <w:rFonts w:ascii="Trebuchet MS" w:hAnsi="Trebuchet MS"/>
          <w:color w:val="000000"/>
          <w:shd w:val="clear" w:color="auto" w:fill="FFFFFF"/>
        </w:rPr>
        <w:t>lor</w:t>
      </w:r>
      <w:r w:rsidRPr="00041E6A">
        <w:rPr>
          <w:rFonts w:ascii="Trebuchet MS" w:hAnsi="Trebuchet MS"/>
          <w:color w:val="000000"/>
          <w:shd w:val="clear" w:color="auto" w:fill="FFFFFF"/>
        </w:rPr>
        <w:t xml:space="preserve"> judecătorești, vor fi suspendate până la pronunțarea hotărârii prealabile pentru dezlegarea chestiunii de drept.</w:t>
      </w:r>
    </w:p>
    <w:p w:rsidR="0053339D" w:rsidRPr="00041E6A" w:rsidRDefault="0053339D" w:rsidP="0053339D">
      <w:pPr>
        <w:tabs>
          <w:tab w:val="left" w:pos="2554"/>
        </w:tabs>
        <w:jc w:val="both"/>
        <w:rPr>
          <w:rFonts w:ascii="Trebuchet MS" w:hAnsi="Trebuchet MS"/>
          <w:color w:val="000000"/>
          <w:shd w:val="clear" w:color="auto" w:fill="FFFFFF"/>
        </w:rPr>
      </w:pPr>
      <w:r w:rsidRPr="00041E6A">
        <w:rPr>
          <w:rFonts w:ascii="Trebuchet MS" w:hAnsi="Trebuchet MS"/>
          <w:color w:val="000000"/>
          <w:shd w:val="clear" w:color="auto" w:fill="FFFFFF"/>
        </w:rPr>
        <w:t>(4) Sesizările prevăzute la alin. (1) având același obiect sau al căror obiect se află în strânsă legătură se conexează.</w:t>
      </w:r>
    </w:p>
    <w:p w:rsidR="0053339D" w:rsidRPr="00041E6A" w:rsidRDefault="0053339D" w:rsidP="0053339D">
      <w:pPr>
        <w:tabs>
          <w:tab w:val="left" w:pos="2554"/>
        </w:tabs>
        <w:jc w:val="both"/>
        <w:rPr>
          <w:rFonts w:ascii="Trebuchet MS" w:hAnsi="Trebuchet MS"/>
          <w:color w:val="000000"/>
          <w:shd w:val="clear" w:color="auto" w:fill="FFFFFF"/>
        </w:rPr>
      </w:pPr>
      <w:r w:rsidRPr="00041E6A">
        <w:rPr>
          <w:rFonts w:ascii="Trebuchet MS" w:hAnsi="Trebuchet MS"/>
          <w:color w:val="000000"/>
          <w:shd w:val="clear" w:color="auto" w:fill="FFFFFF"/>
        </w:rPr>
        <w:t>(5) Sesizările prevăzute la alin. (1) se judecă cu prioritate, în cel mult 60 de zile de la data învestirii Înaltei Curți de Casație și Justiție.</w:t>
      </w:r>
    </w:p>
    <w:p w:rsidR="0053339D" w:rsidRPr="00041E6A" w:rsidRDefault="0053339D" w:rsidP="0053339D">
      <w:pPr>
        <w:tabs>
          <w:tab w:val="left" w:pos="2554"/>
        </w:tabs>
        <w:jc w:val="both"/>
        <w:rPr>
          <w:rFonts w:ascii="Trebuchet MS" w:hAnsi="Trebuchet MS"/>
        </w:rPr>
      </w:pPr>
      <w:r w:rsidRPr="00041E6A">
        <w:rPr>
          <w:rFonts w:ascii="Trebuchet MS" w:hAnsi="Trebuchet MS"/>
        </w:rPr>
        <w:t>(6) Decizia se motivează în termen de cel mult 15 de zile de la pronunțare și se publică în cel mult 5 zile de la motivare în Monitorul Oficial al României, Partea I.</w:t>
      </w:r>
    </w:p>
    <w:p w:rsidR="0053339D" w:rsidRPr="00041E6A" w:rsidRDefault="0053339D" w:rsidP="0053339D">
      <w:pPr>
        <w:tabs>
          <w:tab w:val="left" w:pos="2554"/>
        </w:tabs>
        <w:jc w:val="both"/>
        <w:rPr>
          <w:rFonts w:ascii="Trebuchet MS" w:hAnsi="Trebuchet MS"/>
        </w:rPr>
      </w:pPr>
      <w:r w:rsidRPr="00041E6A">
        <w:rPr>
          <w:rFonts w:ascii="Trebuchet MS" w:hAnsi="Trebuchet MS"/>
        </w:rPr>
        <w:t>Art. 3. – Dispozițiile art. 1 și ale art. 2 se aplică și proceselor în materiile prevăzute la art. 1 și executărilor silite din aceste procese, în curs la data intrării în vigoare a prezentei ordonanțe de urgență.</w:t>
      </w:r>
    </w:p>
    <w:p w:rsidR="0053339D" w:rsidRPr="00041E6A" w:rsidRDefault="0053339D" w:rsidP="0053339D">
      <w:pPr>
        <w:tabs>
          <w:tab w:val="left" w:pos="2554"/>
        </w:tabs>
        <w:jc w:val="both"/>
        <w:rPr>
          <w:rFonts w:ascii="Trebuchet MS" w:hAnsi="Trebuchet MS"/>
        </w:rPr>
      </w:pPr>
      <w:r w:rsidRPr="00041E6A">
        <w:rPr>
          <w:rFonts w:ascii="Trebuchet MS" w:hAnsi="Trebuchet MS"/>
        </w:rPr>
        <w:t>Art. 4. – Dispozițiile prezentei ordonanțe de urgență se completează cu cele ale Legii nr. 134/2010 privind Codul de procedură civilă, republicată, cu modificările și completările ulterioare, precum și cu celelalte reglementări aplicabile în materie.</w:t>
      </w:r>
    </w:p>
    <w:p w:rsidR="0053339D" w:rsidRPr="00041E6A" w:rsidRDefault="0053339D" w:rsidP="0053339D">
      <w:pPr>
        <w:jc w:val="center"/>
        <w:rPr>
          <w:rFonts w:ascii="Trebuchet MS" w:hAnsi="Trebuchet MS"/>
          <w:b/>
        </w:rPr>
      </w:pPr>
      <w:r w:rsidRPr="00041E6A">
        <w:rPr>
          <w:rFonts w:ascii="Trebuchet MS" w:hAnsi="Trebuchet MS"/>
          <w:b/>
        </w:rPr>
        <w:t>PRIM-MINISTRU</w:t>
      </w:r>
    </w:p>
    <w:p w:rsidR="00F93AF5" w:rsidRDefault="0053339D" w:rsidP="0053339D">
      <w:pPr>
        <w:jc w:val="center"/>
      </w:pPr>
      <w:r w:rsidRPr="00041E6A">
        <w:rPr>
          <w:rFonts w:ascii="Trebuchet MS" w:hAnsi="Trebuchet MS"/>
          <w:b/>
        </w:rPr>
        <w:t>ION-MARCEL CIOLACU</w:t>
      </w:r>
    </w:p>
    <w:sectPr w:rsidR="00F93A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D90" w:rsidRDefault="00F02D90" w:rsidP="00D92A35">
      <w:pPr>
        <w:spacing w:after="0" w:line="240" w:lineRule="auto"/>
      </w:pPr>
      <w:r>
        <w:separator/>
      </w:r>
    </w:p>
  </w:endnote>
  <w:endnote w:type="continuationSeparator" w:id="0">
    <w:p w:rsidR="00F02D90" w:rsidRDefault="00F02D90" w:rsidP="00D9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D90" w:rsidRDefault="00F02D90" w:rsidP="00D92A35">
      <w:pPr>
        <w:spacing w:after="0" w:line="240" w:lineRule="auto"/>
      </w:pPr>
      <w:r>
        <w:separator/>
      </w:r>
    </w:p>
  </w:footnote>
  <w:footnote w:type="continuationSeparator" w:id="0">
    <w:p w:rsidR="00F02D90" w:rsidRDefault="00F02D90" w:rsidP="00D92A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39D"/>
    <w:rsid w:val="000000BA"/>
    <w:rsid w:val="000B4F04"/>
    <w:rsid w:val="00126379"/>
    <w:rsid w:val="00133356"/>
    <w:rsid w:val="002634F1"/>
    <w:rsid w:val="002A46B4"/>
    <w:rsid w:val="002F10CC"/>
    <w:rsid w:val="00352B02"/>
    <w:rsid w:val="00355141"/>
    <w:rsid w:val="003929A7"/>
    <w:rsid w:val="00405A13"/>
    <w:rsid w:val="0041541B"/>
    <w:rsid w:val="00423074"/>
    <w:rsid w:val="004B7FB8"/>
    <w:rsid w:val="004C0BD0"/>
    <w:rsid w:val="00515753"/>
    <w:rsid w:val="0053339D"/>
    <w:rsid w:val="00534373"/>
    <w:rsid w:val="00575591"/>
    <w:rsid w:val="006A53D2"/>
    <w:rsid w:val="00781661"/>
    <w:rsid w:val="0087191C"/>
    <w:rsid w:val="00875691"/>
    <w:rsid w:val="00880A9E"/>
    <w:rsid w:val="0095302D"/>
    <w:rsid w:val="0096285D"/>
    <w:rsid w:val="00A15419"/>
    <w:rsid w:val="00A24421"/>
    <w:rsid w:val="00A50CEC"/>
    <w:rsid w:val="00A72B79"/>
    <w:rsid w:val="00B17F69"/>
    <w:rsid w:val="00B2165C"/>
    <w:rsid w:val="00B65D7C"/>
    <w:rsid w:val="00C32A30"/>
    <w:rsid w:val="00C4361D"/>
    <w:rsid w:val="00C73A6E"/>
    <w:rsid w:val="00CB7A30"/>
    <w:rsid w:val="00D26BE0"/>
    <w:rsid w:val="00D361DD"/>
    <w:rsid w:val="00D43F3D"/>
    <w:rsid w:val="00D92A35"/>
    <w:rsid w:val="00D94EBB"/>
    <w:rsid w:val="00DA6CC0"/>
    <w:rsid w:val="00DD485D"/>
    <w:rsid w:val="00E13C97"/>
    <w:rsid w:val="00E33A17"/>
    <w:rsid w:val="00E526DA"/>
    <w:rsid w:val="00F02D90"/>
    <w:rsid w:val="00F451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39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5680</Characters>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2024-06-05T10:16:00Z</dcterms:created>
  <dcterms:modified xsi:type="dcterms:W3CDTF">2024-06-05T10:16:00Z</dcterms:modified>
</cp:coreProperties>
</file>