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38B" w:rsidRPr="00D879D1" w:rsidRDefault="006B538B" w:rsidP="00686000">
      <w:pPr>
        <w:spacing w:after="0" w:line="240" w:lineRule="auto"/>
        <w:jc w:val="center"/>
        <w:rPr>
          <w:rFonts w:eastAsia="MS Mincho" w:cs="Times New Roman"/>
          <w:b/>
          <w:color w:val="002060"/>
          <w:szCs w:val="28"/>
          <w:lang w:val="ro-RO"/>
        </w:rPr>
      </w:pPr>
    </w:p>
    <w:p w:rsidR="00152C52" w:rsidRPr="00246FFA" w:rsidRDefault="00152C52" w:rsidP="00686000">
      <w:pPr>
        <w:spacing w:after="0" w:line="240" w:lineRule="auto"/>
        <w:jc w:val="center"/>
        <w:rPr>
          <w:rFonts w:eastAsia="MS Mincho" w:cs="Times New Roman"/>
          <w:b/>
          <w:color w:val="002060"/>
          <w:szCs w:val="28"/>
        </w:rPr>
      </w:pPr>
    </w:p>
    <w:p w:rsidR="00D879D1" w:rsidRPr="00D879D1" w:rsidRDefault="00F75ED8" w:rsidP="00F75ED8">
      <w:pPr>
        <w:spacing w:after="0" w:line="240" w:lineRule="auto"/>
        <w:jc w:val="center"/>
        <w:rPr>
          <w:rFonts w:eastAsia="MS Mincho" w:cs="Times New Roman"/>
          <w:b/>
          <w:bCs/>
          <w:color w:val="002060"/>
          <w:szCs w:val="28"/>
        </w:rPr>
      </w:pPr>
      <w:r w:rsidRPr="00F75ED8">
        <w:rPr>
          <w:rFonts w:eastAsia="MS Mincho" w:cs="Times New Roman"/>
          <w:b/>
          <w:bCs/>
          <w:color w:val="002060"/>
          <w:szCs w:val="28"/>
        </w:rPr>
        <w:t>SINTEZ</w:t>
      </w:r>
      <w:r w:rsidRPr="00F75ED8">
        <w:rPr>
          <w:rFonts w:eastAsia="MS Mincho" w:cs="Times New Roman"/>
          <w:b/>
          <w:bCs/>
          <w:color w:val="002060"/>
          <w:szCs w:val="28"/>
          <w:lang w:val="ro-RO"/>
        </w:rPr>
        <w:t xml:space="preserve">A MĂSURILOR DE PREVENIRE A RĂSPÂNDIRII VIRUSULUI </w:t>
      </w:r>
    </w:p>
    <w:p w:rsidR="00F65DB8" w:rsidRPr="00246FFA" w:rsidRDefault="00F65DB8" w:rsidP="00686000">
      <w:pPr>
        <w:spacing w:after="0" w:line="240" w:lineRule="auto"/>
        <w:jc w:val="center"/>
        <w:rPr>
          <w:rFonts w:eastAsia="MS Mincho" w:cs="Times New Roman"/>
          <w:b/>
          <w:color w:val="002060"/>
          <w:szCs w:val="28"/>
        </w:rPr>
      </w:pPr>
    </w:p>
    <w:p w:rsidR="00F65DB8" w:rsidRPr="00246FFA" w:rsidRDefault="00F65DB8" w:rsidP="00686000">
      <w:pPr>
        <w:spacing w:after="0" w:line="240" w:lineRule="auto"/>
        <w:jc w:val="center"/>
        <w:rPr>
          <w:rFonts w:eastAsia="MS Mincho" w:cs="Times New Roman"/>
          <w:b/>
          <w:color w:val="002060"/>
          <w:szCs w:val="28"/>
        </w:rPr>
      </w:pPr>
    </w:p>
    <w:p w:rsidR="00F72639" w:rsidRPr="00246FFA" w:rsidRDefault="00F72639" w:rsidP="00686000">
      <w:pPr>
        <w:spacing w:after="0"/>
        <w:jc w:val="center"/>
        <w:rPr>
          <w:rFonts w:cs="Times New Roman"/>
          <w:szCs w:val="28"/>
        </w:rPr>
      </w:pPr>
    </w:p>
    <w:p w:rsidR="00346195" w:rsidRDefault="00F65DB8">
      <w:pPr>
        <w:pStyle w:val="Cuprins1"/>
        <w:tabs>
          <w:tab w:val="right" w:leader="dot" w:pos="9800"/>
        </w:tabs>
        <w:rPr>
          <w:rFonts w:asciiTheme="minorHAnsi" w:eastAsiaTheme="minorEastAsia" w:hAnsiTheme="minorHAnsi"/>
          <w:noProof/>
          <w:sz w:val="22"/>
          <w:lang w:val="ro-RO" w:eastAsia="ro-RO"/>
        </w:rPr>
      </w:pPr>
      <w:r w:rsidRPr="00246FFA">
        <w:rPr>
          <w:rFonts w:cs="Times New Roman"/>
          <w:color w:val="000099"/>
          <w:sz w:val="26"/>
          <w:szCs w:val="26"/>
        </w:rPr>
        <w:fldChar w:fldCharType="begin"/>
      </w:r>
      <w:r w:rsidRPr="00246FFA">
        <w:rPr>
          <w:rFonts w:cs="Times New Roman"/>
          <w:color w:val="000099"/>
          <w:sz w:val="26"/>
          <w:szCs w:val="26"/>
        </w:rPr>
        <w:instrText xml:space="preserve"> TOC \o "1-3" \h \z \u </w:instrText>
      </w:r>
      <w:r w:rsidRPr="00246FFA">
        <w:rPr>
          <w:rFonts w:cs="Times New Roman"/>
          <w:color w:val="000099"/>
          <w:sz w:val="26"/>
          <w:szCs w:val="26"/>
        </w:rPr>
        <w:fldChar w:fldCharType="separate"/>
      </w:r>
      <w:hyperlink w:anchor="_Toc92471246" w:history="1">
        <w:r w:rsidR="00346195" w:rsidRPr="004C428C">
          <w:rPr>
            <w:rStyle w:val="Hyperlink"/>
            <w:noProof/>
          </w:rPr>
          <w:t>Instituirea carantinei pentru persoanele care sosesc în România sau sunt contact direct cu o persoană infectată cu SARS-CoV-2:</w:t>
        </w:r>
        <w:r w:rsidR="00346195">
          <w:rPr>
            <w:noProof/>
            <w:webHidden/>
          </w:rPr>
          <w:tab/>
        </w:r>
        <w:r w:rsidR="00346195">
          <w:rPr>
            <w:noProof/>
            <w:webHidden/>
          </w:rPr>
          <w:fldChar w:fldCharType="begin"/>
        </w:r>
        <w:r w:rsidR="00346195">
          <w:rPr>
            <w:noProof/>
            <w:webHidden/>
          </w:rPr>
          <w:instrText xml:space="preserve"> PAGEREF _Toc92471246 \h </w:instrText>
        </w:r>
        <w:r w:rsidR="00346195">
          <w:rPr>
            <w:noProof/>
            <w:webHidden/>
          </w:rPr>
        </w:r>
        <w:r w:rsidR="00346195">
          <w:rPr>
            <w:noProof/>
            <w:webHidden/>
          </w:rPr>
          <w:fldChar w:fldCharType="separate"/>
        </w:r>
        <w:r w:rsidR="00346195">
          <w:rPr>
            <w:noProof/>
            <w:webHidden/>
          </w:rPr>
          <w:t>1</w:t>
        </w:r>
        <w:r w:rsidR="00346195">
          <w:rPr>
            <w:noProof/>
            <w:webHidden/>
          </w:rPr>
          <w:fldChar w:fldCharType="end"/>
        </w:r>
      </w:hyperlink>
    </w:p>
    <w:p w:rsidR="00346195" w:rsidRDefault="00D8133A">
      <w:pPr>
        <w:pStyle w:val="Cuprins1"/>
        <w:tabs>
          <w:tab w:val="right" w:leader="dot" w:pos="9800"/>
        </w:tabs>
        <w:rPr>
          <w:rFonts w:asciiTheme="minorHAnsi" w:eastAsiaTheme="minorEastAsia" w:hAnsiTheme="minorHAnsi"/>
          <w:noProof/>
          <w:sz w:val="22"/>
          <w:lang w:val="ro-RO" w:eastAsia="ro-RO"/>
        </w:rPr>
      </w:pPr>
      <w:hyperlink w:anchor="_Toc92471247" w:history="1">
        <w:r w:rsidR="00346195" w:rsidRPr="004C428C">
          <w:rPr>
            <w:rStyle w:val="Hyperlink"/>
            <w:noProof/>
          </w:rPr>
          <w:t>Persoanele care sosesc în România nu intră în carantină dacă se află în una dintre următoarele situații:</w:t>
        </w:r>
        <w:r w:rsidR="00346195">
          <w:rPr>
            <w:noProof/>
            <w:webHidden/>
          </w:rPr>
          <w:tab/>
        </w:r>
        <w:r w:rsidR="00346195">
          <w:rPr>
            <w:noProof/>
            <w:webHidden/>
          </w:rPr>
          <w:fldChar w:fldCharType="begin"/>
        </w:r>
        <w:r w:rsidR="00346195">
          <w:rPr>
            <w:noProof/>
            <w:webHidden/>
          </w:rPr>
          <w:instrText xml:space="preserve"> PAGEREF _Toc92471247 \h </w:instrText>
        </w:r>
        <w:r w:rsidR="00346195">
          <w:rPr>
            <w:noProof/>
            <w:webHidden/>
          </w:rPr>
        </w:r>
        <w:r w:rsidR="00346195">
          <w:rPr>
            <w:noProof/>
            <w:webHidden/>
          </w:rPr>
          <w:fldChar w:fldCharType="separate"/>
        </w:r>
        <w:r w:rsidR="00346195">
          <w:rPr>
            <w:noProof/>
            <w:webHidden/>
          </w:rPr>
          <w:t>1</w:t>
        </w:r>
        <w:r w:rsidR="00346195">
          <w:rPr>
            <w:noProof/>
            <w:webHidden/>
          </w:rPr>
          <w:fldChar w:fldCharType="end"/>
        </w:r>
      </w:hyperlink>
    </w:p>
    <w:p w:rsidR="00346195" w:rsidRDefault="00D8133A">
      <w:pPr>
        <w:pStyle w:val="Cuprins1"/>
        <w:tabs>
          <w:tab w:val="right" w:leader="dot" w:pos="9800"/>
        </w:tabs>
        <w:rPr>
          <w:rFonts w:asciiTheme="minorHAnsi" w:eastAsiaTheme="minorEastAsia" w:hAnsiTheme="minorHAnsi"/>
          <w:noProof/>
          <w:sz w:val="22"/>
          <w:lang w:val="ro-RO" w:eastAsia="ro-RO"/>
        </w:rPr>
      </w:pPr>
      <w:hyperlink w:anchor="_Toc92471248" w:history="1">
        <w:r w:rsidR="00346195" w:rsidRPr="004C428C">
          <w:rPr>
            <w:rStyle w:val="Hyperlink"/>
            <w:noProof/>
          </w:rPr>
          <w:t>IMPORTANT!!! Suspendarea temporară a măsurii de carantină</w:t>
        </w:r>
        <w:r w:rsidR="00346195">
          <w:rPr>
            <w:noProof/>
            <w:webHidden/>
          </w:rPr>
          <w:tab/>
        </w:r>
        <w:r w:rsidR="00346195">
          <w:rPr>
            <w:noProof/>
            <w:webHidden/>
          </w:rPr>
          <w:fldChar w:fldCharType="begin"/>
        </w:r>
        <w:r w:rsidR="00346195">
          <w:rPr>
            <w:noProof/>
            <w:webHidden/>
          </w:rPr>
          <w:instrText xml:space="preserve"> PAGEREF _Toc92471248 \h </w:instrText>
        </w:r>
        <w:r w:rsidR="00346195">
          <w:rPr>
            <w:noProof/>
            <w:webHidden/>
          </w:rPr>
        </w:r>
        <w:r w:rsidR="00346195">
          <w:rPr>
            <w:noProof/>
            <w:webHidden/>
          </w:rPr>
          <w:fldChar w:fldCharType="separate"/>
        </w:r>
        <w:r w:rsidR="00346195">
          <w:rPr>
            <w:noProof/>
            <w:webHidden/>
          </w:rPr>
          <w:t>6</w:t>
        </w:r>
        <w:r w:rsidR="00346195">
          <w:rPr>
            <w:noProof/>
            <w:webHidden/>
          </w:rPr>
          <w:fldChar w:fldCharType="end"/>
        </w:r>
      </w:hyperlink>
    </w:p>
    <w:p w:rsidR="00346195" w:rsidRDefault="00D8133A">
      <w:pPr>
        <w:pStyle w:val="Cuprins1"/>
        <w:tabs>
          <w:tab w:val="right" w:leader="dot" w:pos="9800"/>
        </w:tabs>
        <w:rPr>
          <w:rFonts w:asciiTheme="minorHAnsi" w:eastAsiaTheme="minorEastAsia" w:hAnsiTheme="minorHAnsi"/>
          <w:noProof/>
          <w:sz w:val="22"/>
          <w:lang w:val="ro-RO" w:eastAsia="ro-RO"/>
        </w:rPr>
      </w:pPr>
      <w:hyperlink w:anchor="_Toc92471249" w:history="1">
        <w:r w:rsidR="00346195" w:rsidRPr="004C428C">
          <w:rPr>
            <w:rStyle w:val="Hyperlink"/>
            <w:noProof/>
          </w:rPr>
          <w:t>Diferența dintre carantină și izolare:</w:t>
        </w:r>
        <w:r w:rsidR="00346195">
          <w:rPr>
            <w:noProof/>
            <w:webHidden/>
          </w:rPr>
          <w:tab/>
        </w:r>
        <w:r w:rsidR="00346195">
          <w:rPr>
            <w:noProof/>
            <w:webHidden/>
          </w:rPr>
          <w:fldChar w:fldCharType="begin"/>
        </w:r>
        <w:r w:rsidR="00346195">
          <w:rPr>
            <w:noProof/>
            <w:webHidden/>
          </w:rPr>
          <w:instrText xml:space="preserve"> PAGEREF _Toc92471249 \h </w:instrText>
        </w:r>
        <w:r w:rsidR="00346195">
          <w:rPr>
            <w:noProof/>
            <w:webHidden/>
          </w:rPr>
        </w:r>
        <w:r w:rsidR="00346195">
          <w:rPr>
            <w:noProof/>
            <w:webHidden/>
          </w:rPr>
          <w:fldChar w:fldCharType="separate"/>
        </w:r>
        <w:r w:rsidR="00346195">
          <w:rPr>
            <w:noProof/>
            <w:webHidden/>
          </w:rPr>
          <w:t>7</w:t>
        </w:r>
        <w:r w:rsidR="00346195">
          <w:rPr>
            <w:noProof/>
            <w:webHidden/>
          </w:rPr>
          <w:fldChar w:fldCharType="end"/>
        </w:r>
      </w:hyperlink>
    </w:p>
    <w:p w:rsidR="00346195" w:rsidRDefault="00D8133A">
      <w:pPr>
        <w:pStyle w:val="Cuprins1"/>
        <w:tabs>
          <w:tab w:val="right" w:leader="dot" w:pos="9800"/>
        </w:tabs>
        <w:rPr>
          <w:rFonts w:asciiTheme="minorHAnsi" w:eastAsiaTheme="minorEastAsia" w:hAnsiTheme="minorHAnsi"/>
          <w:noProof/>
          <w:sz w:val="22"/>
          <w:lang w:val="ro-RO" w:eastAsia="ro-RO"/>
        </w:rPr>
      </w:pPr>
      <w:hyperlink w:anchor="_Toc92471250" w:history="1">
        <w:r w:rsidR="00346195" w:rsidRPr="004C428C">
          <w:rPr>
            <w:rStyle w:val="Hyperlink"/>
            <w:noProof/>
          </w:rPr>
          <w:t>Principalele activități interzise pe perioada stării de alertă și excepțiile de la acestea:</w:t>
        </w:r>
        <w:r w:rsidR="00346195">
          <w:rPr>
            <w:noProof/>
            <w:webHidden/>
          </w:rPr>
          <w:tab/>
        </w:r>
        <w:r w:rsidR="00346195">
          <w:rPr>
            <w:noProof/>
            <w:webHidden/>
          </w:rPr>
          <w:fldChar w:fldCharType="begin"/>
        </w:r>
        <w:r w:rsidR="00346195">
          <w:rPr>
            <w:noProof/>
            <w:webHidden/>
          </w:rPr>
          <w:instrText xml:space="preserve"> PAGEREF _Toc92471250 \h </w:instrText>
        </w:r>
        <w:r w:rsidR="00346195">
          <w:rPr>
            <w:noProof/>
            <w:webHidden/>
          </w:rPr>
        </w:r>
        <w:r w:rsidR="00346195">
          <w:rPr>
            <w:noProof/>
            <w:webHidden/>
          </w:rPr>
          <w:fldChar w:fldCharType="separate"/>
        </w:r>
        <w:r w:rsidR="00346195">
          <w:rPr>
            <w:noProof/>
            <w:webHidden/>
          </w:rPr>
          <w:t>7</w:t>
        </w:r>
        <w:r w:rsidR="00346195">
          <w:rPr>
            <w:noProof/>
            <w:webHidden/>
          </w:rPr>
          <w:fldChar w:fldCharType="end"/>
        </w:r>
      </w:hyperlink>
    </w:p>
    <w:p w:rsidR="009D30E9" w:rsidRPr="00246FFA" w:rsidRDefault="00F65DB8" w:rsidP="00686000">
      <w:pPr>
        <w:spacing w:after="0"/>
        <w:jc w:val="center"/>
        <w:rPr>
          <w:rFonts w:cs="Times New Roman"/>
          <w:color w:val="000099"/>
          <w:sz w:val="24"/>
          <w:szCs w:val="24"/>
        </w:rPr>
      </w:pPr>
      <w:r w:rsidRPr="00246FFA">
        <w:rPr>
          <w:rFonts w:cs="Times New Roman"/>
          <w:color w:val="000099"/>
          <w:sz w:val="26"/>
          <w:szCs w:val="26"/>
        </w:rPr>
        <w:fldChar w:fldCharType="end"/>
      </w:r>
    </w:p>
    <w:p w:rsidR="00F75ED8" w:rsidRPr="00F75ED8" w:rsidRDefault="00F75ED8" w:rsidP="00F75ED8">
      <w:pPr>
        <w:jc w:val="both"/>
        <w:rPr>
          <w:rFonts w:ascii="Arial" w:eastAsia="Calibri" w:hAnsi="Arial" w:cs="Arial"/>
          <w:b/>
          <w:sz w:val="24"/>
          <w:szCs w:val="24"/>
          <w:lang w:val="ro-RO"/>
        </w:rPr>
      </w:pPr>
    </w:p>
    <w:p w:rsidR="00F75ED8" w:rsidRPr="00F75ED8" w:rsidRDefault="00F75ED8" w:rsidP="00600780">
      <w:pPr>
        <w:pStyle w:val="Titlu1"/>
      </w:pPr>
      <w:bookmarkStart w:id="0" w:name="_Toc92471246"/>
      <w:r w:rsidRPr="00F75ED8">
        <w:t>Instituirea carantinei pentru persoanele care sosesc în România sau sunt contact direct cu o persoană infectată cu SARS-CoV-2:</w:t>
      </w:r>
      <w:bookmarkEnd w:id="0"/>
    </w:p>
    <w:p w:rsidR="00F75ED8" w:rsidRPr="00F75ED8" w:rsidRDefault="00F75ED8" w:rsidP="00F75ED8">
      <w:pPr>
        <w:numPr>
          <w:ilvl w:val="0"/>
          <w:numId w:val="10"/>
        </w:numPr>
        <w:jc w:val="both"/>
        <w:rPr>
          <w:rFonts w:ascii="Arial" w:eastAsia="Calibri" w:hAnsi="Arial" w:cs="Arial"/>
          <w:sz w:val="24"/>
          <w:szCs w:val="24"/>
        </w:rPr>
      </w:pPr>
      <w:r w:rsidRPr="00F75ED8">
        <w:rPr>
          <w:rFonts w:ascii="Arial" w:eastAsia="Calibri" w:hAnsi="Arial" w:cs="Arial"/>
          <w:sz w:val="24"/>
          <w:szCs w:val="24"/>
        </w:rPr>
        <w:t>10 zile pentru persoanele nevaccinate sau care nu se află în perioada cuprinsă între a 11-a și a 180-a zi de la data confirmării pentru infecția cu virusul SARS-CoV-2</w:t>
      </w:r>
    </w:p>
    <w:p w:rsidR="00F75ED8" w:rsidRPr="00F75ED8" w:rsidRDefault="00F75ED8" w:rsidP="00F75ED8">
      <w:pPr>
        <w:numPr>
          <w:ilvl w:val="0"/>
          <w:numId w:val="10"/>
        </w:numPr>
        <w:jc w:val="both"/>
        <w:rPr>
          <w:rFonts w:ascii="Arial" w:eastAsia="Calibri" w:hAnsi="Arial" w:cs="Arial"/>
          <w:sz w:val="24"/>
          <w:szCs w:val="24"/>
        </w:rPr>
      </w:pPr>
      <w:r w:rsidRPr="00F75ED8">
        <w:rPr>
          <w:rFonts w:ascii="Arial" w:eastAsia="Calibri" w:hAnsi="Arial" w:cs="Arial"/>
          <w:sz w:val="24"/>
          <w:szCs w:val="24"/>
        </w:rPr>
        <w:t xml:space="preserve">5 zile pentru persoanele vaccinate și pentru care au trecut 10 zile de la finalizarea schemei de vaccinare, precum și pentru persoanele care au fost confirmate pentru infecția cu virusul SARS-CoV-2 în perioada cuprinsă între a 11-a și a 180-a zi anterioare datei intrării în țară sau contactului cu persoana infectată. </w:t>
      </w:r>
    </w:p>
    <w:p w:rsidR="00F75ED8" w:rsidRPr="00F75ED8" w:rsidRDefault="00F75ED8" w:rsidP="00F75ED8">
      <w:pPr>
        <w:jc w:val="both"/>
        <w:rPr>
          <w:rFonts w:ascii="Arial" w:eastAsia="Calibri" w:hAnsi="Arial" w:cs="Arial"/>
          <w:sz w:val="24"/>
          <w:szCs w:val="24"/>
        </w:rPr>
      </w:pPr>
    </w:p>
    <w:p w:rsidR="00F75ED8" w:rsidRPr="00F75ED8" w:rsidRDefault="00F75ED8" w:rsidP="00600780">
      <w:pPr>
        <w:pStyle w:val="Titlu1"/>
      </w:pPr>
      <w:bookmarkStart w:id="1" w:name="_Toc92471247"/>
      <w:r w:rsidRPr="00F75ED8">
        <w:t>Persoanele care sosesc în România nu intră în carantină dacă se află în una dintre următoarele situații:</w:t>
      </w:r>
      <w:bookmarkEnd w:id="1"/>
    </w:p>
    <w:p w:rsidR="00F75ED8" w:rsidRPr="00F75ED8" w:rsidRDefault="00F75ED8" w:rsidP="00F75ED8">
      <w:pPr>
        <w:numPr>
          <w:ilvl w:val="0"/>
          <w:numId w:val="14"/>
        </w:numPr>
        <w:jc w:val="both"/>
        <w:rPr>
          <w:rFonts w:ascii="Arial" w:eastAsia="Calibri" w:hAnsi="Arial" w:cs="Arial"/>
          <w:sz w:val="24"/>
          <w:szCs w:val="24"/>
        </w:rPr>
      </w:pPr>
      <w:r w:rsidRPr="00F75ED8">
        <w:rPr>
          <w:rFonts w:ascii="Arial" w:eastAsia="Calibri" w:hAnsi="Arial" w:cs="Arial"/>
          <w:sz w:val="24"/>
          <w:szCs w:val="24"/>
        </w:rPr>
        <w:t xml:space="preserve">Pentru persoanele care vin din </w:t>
      </w:r>
      <w:r w:rsidRPr="00F75ED8">
        <w:rPr>
          <w:rFonts w:ascii="Arial" w:eastAsia="Calibri" w:hAnsi="Arial" w:cs="Arial"/>
          <w:b/>
          <w:sz w:val="24"/>
          <w:szCs w:val="24"/>
        </w:rPr>
        <w:t>state ale Uniunii Europene și ale Spațiului Economic European sau Confederația Elvețiană</w:t>
      </w:r>
      <w:r w:rsidRPr="00F75ED8">
        <w:rPr>
          <w:rFonts w:ascii="Arial" w:eastAsia="Calibri" w:hAnsi="Arial" w:cs="Arial"/>
          <w:sz w:val="24"/>
          <w:szCs w:val="24"/>
        </w:rPr>
        <w:t xml:space="preserve"> sunt instituite următoarele excepții de la carantină (persoanele aflate în aceste situații nu intră în carantină):</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 xml:space="preserve">persoanele care vin </w:t>
      </w:r>
      <w:r w:rsidRPr="00F75ED8">
        <w:rPr>
          <w:rFonts w:ascii="Arial" w:eastAsia="Calibri" w:hAnsi="Arial" w:cs="Arial"/>
          <w:b/>
          <w:sz w:val="24"/>
          <w:szCs w:val="24"/>
        </w:rPr>
        <w:t>din state încadrate în zona verde sau galbenă</w:t>
      </w:r>
      <w:r w:rsidRPr="00F75ED8">
        <w:rPr>
          <w:rFonts w:ascii="Arial" w:eastAsia="Calibri" w:hAnsi="Arial" w:cs="Arial"/>
          <w:sz w:val="24"/>
          <w:szCs w:val="24"/>
        </w:rPr>
        <w:t xml:space="preserve"> și prezintă dovada vaccinării, dovada confirmării pentru infecția cu virusul SARS-CoV-2 în ultimele 180 de zile anterioare intrării în țară și pentru care au trecut cel puțin 10 zile de la data confirmării până la data intrării în țară ori dovada testării negative RT-PCR pentru COVID-19 efectuată cu cel mult 72 de ore înaintea îmbarcării (pentru cei care călătoresc cu mijloace de transport în comun) sau intrării pe teritoriul național (pentru cei care călătoresc cu mijloace proprii) </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lastRenderedPageBreak/>
        <w:t xml:space="preserve">persoanele care sosesc din </w:t>
      </w:r>
      <w:r w:rsidRPr="00F75ED8">
        <w:rPr>
          <w:rFonts w:ascii="Arial" w:eastAsia="Calibri" w:hAnsi="Arial" w:cs="Arial"/>
          <w:b/>
          <w:sz w:val="24"/>
          <w:szCs w:val="24"/>
        </w:rPr>
        <w:t>state încadrate în zona roșie</w:t>
      </w:r>
      <w:r w:rsidRPr="00F75ED8">
        <w:rPr>
          <w:rFonts w:ascii="Arial" w:eastAsia="Calibri" w:hAnsi="Arial" w:cs="Arial"/>
          <w:sz w:val="24"/>
          <w:szCs w:val="24"/>
        </w:rPr>
        <w:t xml:space="preserve"> și prezintă dovada vaccinării, dovada confirmării pentru infecția cu virusul SARS-CoV-2 în ultimele 180 de zile anterioare intrării în țară și pentru care au trecut cel puțin 10 zile de la data confirmării până la data intrării în țară</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copiii cu vârsta mai mică sau egală de 12 ani</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copiii cu vârsta mai mare de 12 ani și mai mică de 16 ani, indiferent de încadrarea țării în zona de risc, dacă prezintă rezultatul negativ al unui test RT-PCR pentru infecția cu virusul SARS-CoV-2, efectuat cu cel mult 72 de ore înaintea îmbarcării (pentru cei care călătoresc cu mijloace de transport în comun) sau intrării pe teritoriul național (pentru cei care călătoresc cu mijloace proprii)</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 xml:space="preserve">persoanele nevaccinate ori persoanele care nu au fost confirmate pentru infecția cu virusul SARS-CoV-2 în ultimele 180 de zile anterioare intrării în țară, care sosesc din zona roșie și rămân pe teritoriul național pentru o perioadă mai mică de 3 zile (72 de ore) dacă prezintă rezultatul negativ al unui test RT-PCR pentru infecția cu virusul SARSCoV-2, efectuat cu cel mult 72 de ore înaintea îmbarcării (pentru cei care călătoresc cu mijloace de transport în comun) sau intrării pe teritoriul național (pentru cei care călătoresc cu mijloace proprii). </w:t>
      </w:r>
      <w:r w:rsidRPr="00F75ED8">
        <w:rPr>
          <w:rFonts w:ascii="Arial" w:eastAsia="Calibri" w:hAnsi="Arial" w:cs="Arial"/>
          <w:b/>
          <w:sz w:val="24"/>
          <w:szCs w:val="24"/>
        </w:rPr>
        <w:t>ATENȚIE!!!</w:t>
      </w:r>
      <w:r w:rsidRPr="00F75ED8">
        <w:rPr>
          <w:rFonts w:ascii="Arial" w:eastAsia="Calibri" w:hAnsi="Arial" w:cs="Arial"/>
          <w:sz w:val="24"/>
          <w:szCs w:val="24"/>
        </w:rPr>
        <w:t xml:space="preserve"> În situația în care aceste persoane nu părăsesc teritoriul național în cele 3 zile (72 de ore), cu informarea direcției de sănătate publică din județul în care locuiesc sau în care au adresa declarată la intrarea în țară, vor fi carantinate pentru o perioadă de 14 zile, începând cu cea de-a patra zi ulterioară intrării pe teritoriul României</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persoanele aflate în tranzit, dacă părăsesc România în cel mult 24 de ore de la intrarea pe teritoriul tării</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lucrătorii transfrontalieri care intră în România din Ungaria sau Bulgaria, precum și cetățenii români angajați ai operatorilor economici din țările menționate, care la intrarea în țară fac dovada raporturilor contractuale cu operatorii economici respective</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elevii/studenții, cetățeni români sau cetățenii cu domiciliul sau reședința în afara României, care frecventează cursurile unor instituții de învățământ din România sau din afara țării, fac naveta zilnic către acestea și prezintă documente doveditoare</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membrii delegațiilor sportive, precum și artiștii și staff-ul acestora nevaccinați ori care nu au fost confirmați pentru infecția cu virusul SARS-CoV-2 în ultimele 180 de zile anterioare intrării în țară, care sosesc din zona roșie pentru participarea la competiții sportive, respectiv evenimente culturale, artistice sau de divertisment, organizate pe teritoriul național, dacă prezintă rezultatul negativ al unui test RT-PCR pentru infecția cu SARSCoV-2 efectuat cu cel mult 72 de ore înaintea îmbarcării (pentru cei care călătoresc cu mijloace de transport în comun) sau intrării pe teritoriul național (pentru cei care călătoresc cu mijloace proprii) și participă doar la activități în cadrul competițiilor sau, după caz, evenimentelor menționate</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lastRenderedPageBreak/>
        <w:t>conducătorii autovehiculelor cu capacitatea maximă autorizată mai mare de 2,4 tone care asigură transportul de marfă</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persoanele predate autorităților române în baza acordurilor de readmisie, returnate în procedură accelerate</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membrii misiunilor diplomatice, oficiilor consulare, ai altor reprezentanțe diplomatice acreditate la București și posesori de pașapoarte diplomatice, pe bază de reciprocitate, personalul asimilat personalului diplomatic, membrii Corpului Diplomatic și Consular al României și posesorii de pașapoarte diplomatice și de serviciu, nevaccinați ori care nu au fost confirmați pentru infecția cu virusul SARS-CoV-2 în ultimele 180 de zile anterioare intrării în țară, care sosesc din zona roșie și prezintă rezultatul negativ al unui test RT-PCR pentru infecția cu virusul SARS-CoV2 efectuat cu cel mult 72 de ore înaintea îmbarcării (pentru cei care călătoresc cu mijloace de transport în comun) sau intrării pe teritoriul național (pentru cei care călătoresc cu mijloace proprii)</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elevii/studenții, cetățeni români sau cetățeni cu domiciliul sau reședința în afara României care au de susținut examene de admitere ori pentru finalizarea studiilor sau care încep studiile în unități/instituții de învățământ de pe teritoriul țării ori se deplasează pentru activități legate de începerea, organizarea, frecventarea sau finalizarea studiilor, precum și însoțitorii acestora în situația în care sunt minori, dacă prezintă rezultatul negativ al unui test RT-PCR pentru infecția cu SARS-CoV-2 efectuat cu cel mult 72 de ore înaintea îmbarcării (pentru cei care călătoresc cu mijloace de transport în comun) sau intrării pe teritoriul național (pentru cei care călătoresc cu mijloace proprii) și prezintă documente doveditoare</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piloții de aeronave și personalul navigant al acestora, precum și mecanicii de locomotivă și personalul feroviar</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conducătorii autovehiculelor prevăzute cu mai mult de 9 locuri pe scaune, inclusiv locul conducătorului, care asigură transport de persoane, dacă fac dovada vaccinării cu schemă completă și pentru care au trecut 10 zile de la finalizarea acesteia ori dovada confirmării pentru infecția cu virusul SARSCoV-2 în ultimele 180 de zile anterioare intrării în țară sau prezintă rezultatul negativ al unui test RT-PCR pentru infecția cu SARS-CoV-2 efectuat cu cel mult 72 de ore înaintea intrării pe teritoriul național, iar deplasarea se realizează doar în scop profesional</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personalul navigant care debarcă de la bordul navelor de navigație interioară cât și de la bordul navelor și elicopterelor de transport persoane sau de suport evacuare medicală precum și de la bordul celor care operează în zona economică exclusiva a României, care arborează pavilion român sau pavilion străin, dar aflat în managementul unui operator roman, într-un port românesc, cu condiția asigurări a echipamentelor individuale de protecție împotriva COVID-19</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personalul navigant maritim român care se repatriază prin orice mijloc de transport și cel care efectuează schimbul de echipaj la bordurile navelor aflate în porturile românești, indiferent de pavilionul pe care îl arborează, la intrarea în țară, precum și la îmbarcarea/debarcarea de pe navă</w:t>
      </w:r>
    </w:p>
    <w:p w:rsidR="00F75ED8" w:rsidRPr="00F75ED8" w:rsidRDefault="00F75ED8" w:rsidP="00F75ED8">
      <w:pPr>
        <w:numPr>
          <w:ilvl w:val="0"/>
          <w:numId w:val="11"/>
        </w:numPr>
        <w:jc w:val="both"/>
        <w:rPr>
          <w:rFonts w:ascii="Arial" w:eastAsia="Calibri" w:hAnsi="Arial" w:cs="Arial"/>
          <w:sz w:val="24"/>
          <w:szCs w:val="24"/>
        </w:rPr>
      </w:pPr>
      <w:r w:rsidRPr="00F75ED8">
        <w:rPr>
          <w:rFonts w:ascii="Arial" w:eastAsia="Calibri" w:hAnsi="Arial" w:cs="Arial"/>
          <w:sz w:val="24"/>
          <w:szCs w:val="24"/>
        </w:rPr>
        <w:t>personalul tehnic care lucrează pe platformele fixe și mobile de extracție petrol și gaze in zona exclusiva economică a României.</w:t>
      </w:r>
    </w:p>
    <w:p w:rsidR="00F75ED8" w:rsidRPr="00F75ED8" w:rsidRDefault="00F75ED8" w:rsidP="00F75ED8">
      <w:pPr>
        <w:jc w:val="both"/>
        <w:rPr>
          <w:rFonts w:ascii="Arial" w:eastAsia="Calibri" w:hAnsi="Arial" w:cs="Arial"/>
          <w:sz w:val="24"/>
          <w:szCs w:val="24"/>
        </w:rPr>
      </w:pPr>
    </w:p>
    <w:p w:rsidR="00F75ED8" w:rsidRPr="00F75ED8" w:rsidRDefault="00F75ED8" w:rsidP="00F75ED8">
      <w:pPr>
        <w:jc w:val="both"/>
        <w:rPr>
          <w:rFonts w:ascii="Arial" w:eastAsia="Calibri" w:hAnsi="Arial" w:cs="Arial"/>
          <w:sz w:val="24"/>
          <w:szCs w:val="24"/>
        </w:rPr>
      </w:pPr>
    </w:p>
    <w:p w:rsidR="00F75ED8" w:rsidRPr="00F75ED8" w:rsidRDefault="00F75ED8" w:rsidP="00F75ED8">
      <w:pPr>
        <w:numPr>
          <w:ilvl w:val="0"/>
          <w:numId w:val="14"/>
        </w:numPr>
        <w:jc w:val="both"/>
        <w:rPr>
          <w:rFonts w:ascii="Arial" w:eastAsia="Calibri" w:hAnsi="Arial" w:cs="Arial"/>
          <w:sz w:val="24"/>
          <w:szCs w:val="24"/>
        </w:rPr>
      </w:pPr>
      <w:r w:rsidRPr="00F75ED8">
        <w:rPr>
          <w:rFonts w:ascii="Arial" w:eastAsia="Calibri" w:hAnsi="Arial" w:cs="Arial"/>
          <w:sz w:val="24"/>
          <w:szCs w:val="24"/>
        </w:rPr>
        <w:t xml:space="preserve">Pentru persoanele care sosesc pe teritoriul României din </w:t>
      </w:r>
      <w:r w:rsidRPr="00F75ED8">
        <w:rPr>
          <w:rFonts w:ascii="Arial" w:eastAsia="Calibri" w:hAnsi="Arial" w:cs="Arial"/>
          <w:b/>
          <w:sz w:val="24"/>
          <w:szCs w:val="24"/>
        </w:rPr>
        <w:t>statele terțe, indiferent de încadrarea acestora în zona de risc epidemiologic</w:t>
      </w:r>
      <w:r w:rsidRPr="00F75ED8">
        <w:rPr>
          <w:rFonts w:ascii="Arial" w:eastAsia="Calibri" w:hAnsi="Arial" w:cs="Arial"/>
          <w:sz w:val="24"/>
          <w:szCs w:val="24"/>
        </w:rPr>
        <w:t>, sunt instituite următoarele excepții de la carantină (persoanele aflate în aceste situații nu intră în carantină):</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persoanele care prezintă dovada vaccinării sau dovada confirmării pentru infecția cu virusul SARS-CoV-2 în ultimele 180 de zile anterioare intrării în țară și pentru care au trecut cel puțin 10 zile de la data confirmării până la data intrării în țară, însoțite de rezultatul negativ al unui test RT-PCR pentru COVID-19 efectuat cu cel mult 48 de ore înaintea îmbarcării (pentru cei care călătoresc cu mijloace de transport în comun) sau intrării pe teritoriul național (pentru cei care călătoresc cu mijloace proprii)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copiii cu vârsta mai mică sau egală de 12 ani;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copiii cu vârsta mai mare de 12 ani și mai mică de 16 ani, dacă prezintă rezultatul negativ al unui test RT-PCR pentru infecția cu virusul SARS-CoV-2, efectuat cu cel mult 48 de ore înaintea îmbarcării (pentru cei care călătoresc cu mijloace de transport în comun) sau intrării pe teritoriul național (pentru cei care călătoresc cu mijloace proprii);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persoanele nevaccinate ori persoanele care nu au fost confirmate pentru infecția cu virusul SARS-CoV-2 în ultimele 180 de zile anterioare intrării în țară, care rămân pe teritoriul național pentru o perioadă mai mică de 3 zile (72 de ore) dacă prezintă rezultatul negativ al unui test RT-PCR pentru infecția cu virusul SARS-CoV-2, efectuat cu cel mult 48 de ore înaintea îmbarcării (pentru cei care călătoresc cu mijloace de transport în comun) sau intrării pe teritoriul național (pentru cei care călătoresc cu mijloace proprii). În situația în care persoanele nu părăsesc teritoriul național în cele 3 zile (72 de ore), cu informarea direcției de sănătate publică din județul în care locuiesc sau în care au adresa declarată la intrarea în țară, vor fi carantinate pentru o perioadă de 14 zile, începând cu cea de-a patra zi ulterioară intrării pe teritoriul României;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persoanele aflate în tranzit, dacă părăsesc România în cel mult 24 de ore de la intrarea pe teritoriul tării;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lucrătorii transfrontalieri care intră în România din Serbia, Ucraina sau Republica Moldova, precum și cetățenii români angajați ai operatorilor economici din țările menționate, care la intrarea în țară fac dovada raporturilor contractuale cu operatorii economici respectivi;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elevii/studenții, cetățeni români sau cetățeni cu domiciliul sau reședința în afara României, care frecventează cursurile unor instituții de învățământ din România sau din afara țării, fac naveta zilnic către acestea și prezintă documente doveditoare;</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membrii delegațiilor sportive, precum și artiștii și staff-ul acestora care sunt nevaccinați ori care nu au fost confirmați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pentru infecția cu virusul SARS-CoV-2 în ultimele 180 de zile anterioare intrării în țară, sosesc pentru participarea la competiții sportive, respectiv evenimente culturale, artistice sau de divertisment, organizate pe teritoriul național, dacă prezintă rezultatul negativ al unui test RT-PCR pentru infecția cu SARS-CoV-2 efectuat cu cel mult 48 de ore înaintea îmbarcării (pentru cei care călătoresc cu mijloace de transport în comun) sau intrării pe teritoriul național (pentru cei care călătoresc cu mijloace proprii) și participă doar la activități în cadrul competițiilor sau, după caz, evenimentelor menționate;</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conducătorii autovehiculelor cu capacitatea maximă autorizată mai mare de 2,4 tone care asigură transportul de marfă;</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persoanele predate autorităților române în baza acordurilor de readmisie, returnate în procedură accelerată;</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membrii misiunilor diplomatice, oficiilor consulare, ai altor reprezentanțe diplomatice acreditate la București și posesori de pașapoarte diplomatice, pe bază de reciprocitate, personalul asimilat personalului diplomatic, membrii Corpului Diplomatic și Consular al României și posesorii de pașapoarte diplomatice și de serviciu, nevaccinați ori care nu au fost confirmați pentru infecția cu virusul SARS-CoV-2 în ultimele 180 de zile anterioare intrării în țară, care sosesc din statele terțe, indiferent de încadrarea acestora în zona de risc și prezintă rezultatul negativ al unui test RT-PCR pentru infecția cu virusul SARS-CoV-2 efectuat cu cel mult 48 de ore înaintea îmbarcării (pentru cei care călătoresc cu mijloace de transport în comun) sau intrării pe teritoriul național (pentru cei care călătoresc cu mijloace proprii);</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elevii/studenții, cetățeni români sau cetățeni cu domiciliul sau reședința în afara României, care au de susținut examene de admitere ori pentru finalizarea studiilor sau care încep studiile în unități/instituții de învățământ de pe teritoriul țării ori se deplasează pentru activități legate de începerea, organizarea, frecventarea sau finalizarea studiilor, precum și însoțitorii acestora în situația în care sunt minori, dacă prezintă rezultatul negativ al unui test RT-PCR pentru infecția cu SARS-CoV-2 efectuat cu cel mult 48 de ore înaintea îmbarcării (pentru cei care călătoresc cu mijloace de transport în comun) sau intrării pe teritoriul național (pentru cei care călătoresc cu mijloace proprii) și prezintă documente doveditoare;</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angajații sistemului național de apărare, ordine publică și securitate națională care se întorc în România de la activități desfășurate în interes profesional în afara țării și sunt vaccinați ori au fost confirmați pentru infecția cu virusul SARS-CoV-2 în ultimele 180 de zile anterioare intrării în țară;</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piloții de aeronave și personalul navigant al acestora, precum și mecanicii de locomotivă și personalul feroviar;</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conducătorii autovehiculelor prevăzute cu mai mult de 9 locuri pe scaune, inclusiv locul conducătorului, care asigură transport de persoane, dacă fac dovada vaccinării cu schema completă și pentru care au trecut 10 zile de la finalizarea acesteia ori dovada confirmării pentru infecția cu virusul SARS-CoV-2 în ultimele 180 de zile anterioare intrării în țară sau prezintă rezultatul negativ al unui test RT-PCR pentru infecția cu SARS-CoV-2 efectuat cu cel mult 48 de ore înaintea intrării pe teritoriul național, iar deplasarea se realizează doar în scop profesional;</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personalul navigant care debarcă de la bordul navelor de navigație interioară cât și de la bordul navelor și elicopterelor de transport persoane sau de suport evacuare medicală precum și de la bordul celor care operează în zona economică exclusiva a României, care arborează pavilion român sau pavilion străin, dar aflat în managementul unui operator roman, într-un port românesc, cu condiția asigurări a echipamentelor individuale de protecție împotriva COVID-19;</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personalul navigant maritim român care se repatriază prin orice mijloc de transport și cel care efectuează schimbul de echipaj la bordurile navelor aflate în porturile românești, indiferent de pavilionul pe care îl arborează, la intrarea în țară, precum și la îmbarcarea/debarcarea de pe navă;</w:t>
      </w:r>
    </w:p>
    <w:p w:rsidR="00F75ED8" w:rsidRPr="00F75ED8" w:rsidRDefault="00F75ED8" w:rsidP="00F75ED8">
      <w:pPr>
        <w:numPr>
          <w:ilvl w:val="0"/>
          <w:numId w:val="12"/>
        </w:numPr>
        <w:jc w:val="both"/>
        <w:rPr>
          <w:rFonts w:ascii="Arial" w:eastAsia="Calibri" w:hAnsi="Arial" w:cs="Arial"/>
          <w:sz w:val="24"/>
          <w:szCs w:val="24"/>
        </w:rPr>
      </w:pPr>
      <w:r w:rsidRPr="00F75ED8">
        <w:rPr>
          <w:rFonts w:ascii="Arial" w:eastAsia="Calibri" w:hAnsi="Arial" w:cs="Arial"/>
          <w:sz w:val="24"/>
          <w:szCs w:val="24"/>
        </w:rPr>
        <w:t>personalul tehnic care lucrează pe platformele fixe și mobile de extracție petrol și gaze in zona economică exclusivă a României.</w:t>
      </w:r>
    </w:p>
    <w:p w:rsidR="00F75ED8" w:rsidRPr="00F75ED8" w:rsidRDefault="00F75ED8" w:rsidP="00F75ED8">
      <w:pPr>
        <w:jc w:val="both"/>
        <w:rPr>
          <w:rFonts w:ascii="Arial" w:eastAsia="Calibri" w:hAnsi="Arial" w:cs="Arial"/>
          <w:b/>
          <w:sz w:val="24"/>
          <w:szCs w:val="24"/>
        </w:rPr>
      </w:pPr>
      <w:r w:rsidRPr="00F75ED8">
        <w:rPr>
          <w:rFonts w:ascii="Arial" w:eastAsia="Calibri" w:hAnsi="Arial" w:cs="Arial"/>
          <w:b/>
          <w:sz w:val="24"/>
          <w:szCs w:val="24"/>
        </w:rPr>
        <w:t>Aceste prevederi pot fi găsite, pe larg, în Hotărârea CNSU numărul 2 din 7 ianuarie 2022.</w:t>
      </w:r>
    </w:p>
    <w:p w:rsidR="00F75ED8" w:rsidRPr="00F75ED8" w:rsidRDefault="00F75ED8" w:rsidP="00F75ED8">
      <w:pPr>
        <w:jc w:val="both"/>
        <w:rPr>
          <w:rFonts w:ascii="Arial" w:eastAsia="Calibri" w:hAnsi="Arial" w:cs="Arial"/>
          <w:b/>
          <w:sz w:val="24"/>
          <w:szCs w:val="24"/>
        </w:rPr>
      </w:pPr>
      <w:r w:rsidRPr="00F75ED8">
        <w:rPr>
          <w:rFonts w:ascii="Arial" w:eastAsia="Calibri" w:hAnsi="Arial" w:cs="Arial"/>
          <w:b/>
          <w:sz w:val="24"/>
          <w:szCs w:val="24"/>
        </w:rPr>
        <w:t>De prevederile Hotărârii CNSU numărul 2/2022 beneficiază și persoanele care au primit deja decizii de carantinare, pentru că durata carantinei instituită prin decizii emise anterior intrării în vigoare a prezentei hotărâri se reduce conform termenelor prevăzute în Hotărârea adoptată astăzi, 7 ianuarie 2022.</w:t>
      </w:r>
    </w:p>
    <w:p w:rsidR="00F75ED8" w:rsidRPr="00F75ED8" w:rsidRDefault="00F75ED8" w:rsidP="00F75ED8">
      <w:pPr>
        <w:jc w:val="both"/>
        <w:rPr>
          <w:rFonts w:ascii="Arial" w:eastAsia="Calibri" w:hAnsi="Arial" w:cs="Arial"/>
          <w:b/>
          <w:sz w:val="24"/>
          <w:szCs w:val="24"/>
        </w:rPr>
      </w:pPr>
    </w:p>
    <w:p w:rsidR="00F75ED8" w:rsidRPr="00F75ED8" w:rsidRDefault="00F75ED8" w:rsidP="00600780">
      <w:pPr>
        <w:pStyle w:val="Titlu1"/>
      </w:pPr>
      <w:bookmarkStart w:id="2" w:name="_Toc92471248"/>
      <w:r w:rsidRPr="00F75ED8">
        <w:t xml:space="preserve">IMPORTANT!!! </w:t>
      </w:r>
      <w:r w:rsidR="00346195">
        <w:t>S</w:t>
      </w:r>
      <w:r w:rsidR="00346195" w:rsidRPr="00600780">
        <w:t>uspendarea temporară a măsurii de carantină</w:t>
      </w:r>
      <w:bookmarkEnd w:id="2"/>
    </w:p>
    <w:p w:rsidR="00F75ED8" w:rsidRPr="00F75ED8" w:rsidRDefault="00F75ED8" w:rsidP="00F75ED8">
      <w:pPr>
        <w:jc w:val="both"/>
        <w:rPr>
          <w:rFonts w:ascii="Arial" w:eastAsia="Calibri" w:hAnsi="Arial" w:cs="Arial"/>
          <w:sz w:val="24"/>
          <w:szCs w:val="24"/>
        </w:rPr>
      </w:pPr>
      <w:r w:rsidRPr="00F75ED8">
        <w:rPr>
          <w:rFonts w:ascii="Arial" w:eastAsia="Calibri" w:hAnsi="Arial" w:cs="Arial"/>
          <w:sz w:val="24"/>
          <w:szCs w:val="24"/>
        </w:rPr>
        <w:t>Pentru situații deosebite care vizează participarea la evenimente familiale legate de naștere, căsătorie sau deces, deplasări pentru intervenții/tratamente medicale în cazuri care nu suportă amânare cum ar fi afecțiuni oncologice, insuficiență renală cronică în program de hemodializă, fără a se limita la acestea, preschimbare documente de identitate, părăsirea țării, prezentarea la centrul de vaccinare conform programării în vederea vaccinării ș.a., poate fi analizată suspendarea temporară a măsurii de carantină, pe baza documentelor justificative.</w:t>
      </w:r>
    </w:p>
    <w:p w:rsidR="00F75ED8" w:rsidRPr="00F75ED8" w:rsidRDefault="00F75ED8" w:rsidP="00F75ED8">
      <w:pPr>
        <w:jc w:val="both"/>
        <w:rPr>
          <w:rFonts w:ascii="Arial" w:eastAsia="Calibri" w:hAnsi="Arial" w:cs="Arial"/>
          <w:sz w:val="24"/>
          <w:szCs w:val="24"/>
        </w:rPr>
      </w:pPr>
      <w:r w:rsidRPr="00F75ED8">
        <w:rPr>
          <w:rFonts w:ascii="Arial" w:eastAsia="Calibri" w:hAnsi="Arial" w:cs="Arial"/>
          <w:sz w:val="24"/>
          <w:szCs w:val="24"/>
        </w:rPr>
        <w:t>Analiza este realizată la nivelul centrelor județene de coordonare și conducere a intervenției.</w:t>
      </w:r>
    </w:p>
    <w:p w:rsidR="00F75ED8" w:rsidRPr="00F75ED8" w:rsidRDefault="00F75ED8" w:rsidP="00F75ED8">
      <w:pPr>
        <w:jc w:val="both"/>
        <w:rPr>
          <w:rFonts w:ascii="Arial" w:eastAsia="Calibri" w:hAnsi="Arial" w:cs="Arial"/>
          <w:sz w:val="24"/>
          <w:szCs w:val="24"/>
        </w:rPr>
      </w:pPr>
    </w:p>
    <w:p w:rsidR="00F75ED8" w:rsidRPr="00F75ED8" w:rsidRDefault="00F75ED8" w:rsidP="00600780">
      <w:pPr>
        <w:pStyle w:val="Titlu1"/>
      </w:pPr>
      <w:bookmarkStart w:id="3" w:name="_Toc92471249"/>
      <w:r w:rsidRPr="00F75ED8">
        <w:t>Diferența dintre carantină și izolare:</w:t>
      </w:r>
      <w:bookmarkEnd w:id="3"/>
    </w:p>
    <w:p w:rsidR="00F75ED8" w:rsidRPr="00F75ED8" w:rsidRDefault="00F75ED8" w:rsidP="00F75ED8">
      <w:pPr>
        <w:jc w:val="both"/>
        <w:rPr>
          <w:rFonts w:ascii="Arial" w:eastAsia="Calibri" w:hAnsi="Arial" w:cs="Arial"/>
          <w:sz w:val="24"/>
          <w:szCs w:val="24"/>
        </w:rPr>
      </w:pPr>
      <w:r w:rsidRPr="00F75ED8">
        <w:rPr>
          <w:rFonts w:ascii="Arial" w:eastAsia="Calibri" w:hAnsi="Arial" w:cs="Arial"/>
          <w:sz w:val="24"/>
          <w:szCs w:val="24"/>
        </w:rPr>
        <w:t>Carantina se instituie pentru persoanele care nu sunt infectate cu virusul sars-cov-2, dar sunt în una din două situații: sosesc în românia din alte state sau sunt contact direct cu o persoană infectată.</w:t>
      </w:r>
    </w:p>
    <w:p w:rsidR="00F75ED8" w:rsidRPr="00F75ED8" w:rsidRDefault="00F75ED8" w:rsidP="00F75ED8">
      <w:pPr>
        <w:jc w:val="both"/>
        <w:rPr>
          <w:rFonts w:ascii="Arial" w:eastAsia="Calibri" w:hAnsi="Arial" w:cs="Arial"/>
          <w:sz w:val="24"/>
          <w:szCs w:val="24"/>
        </w:rPr>
      </w:pPr>
      <w:r w:rsidRPr="00F75ED8">
        <w:rPr>
          <w:rFonts w:ascii="Arial" w:eastAsia="Calibri" w:hAnsi="Arial" w:cs="Arial"/>
          <w:sz w:val="24"/>
          <w:szCs w:val="24"/>
        </w:rPr>
        <w:t>Pentru persoanele infectate (care au rezultatul pozitiv la un test PCR sau antigen) se instituie măsura izolării.</w:t>
      </w:r>
    </w:p>
    <w:p w:rsidR="00F75ED8" w:rsidRPr="00F75ED8" w:rsidRDefault="00F75ED8" w:rsidP="00F75ED8">
      <w:pPr>
        <w:jc w:val="both"/>
        <w:rPr>
          <w:rFonts w:ascii="Arial" w:eastAsia="Calibri" w:hAnsi="Arial" w:cs="Arial"/>
          <w:sz w:val="24"/>
          <w:szCs w:val="24"/>
        </w:rPr>
      </w:pPr>
    </w:p>
    <w:p w:rsidR="00F75ED8" w:rsidRPr="00F75ED8" w:rsidRDefault="00F75ED8" w:rsidP="00600780">
      <w:pPr>
        <w:pStyle w:val="Titlu1"/>
      </w:pPr>
      <w:bookmarkStart w:id="4" w:name="_Toc92471250"/>
      <w:r w:rsidRPr="00F75ED8">
        <w:t>Principalele activități interzise pe perioada stării de alertă și excepțiile de la acestea:</w:t>
      </w:r>
      <w:bookmarkEnd w:id="4"/>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 xml:space="preserve">mitinguri, demonstraţii, procesiuni, concerte, spectacole, cursuri de instruire, workshopuri, conferinţe sau alte tipuri de întruniri, organizarea de evenimente private (nunţi, botezuri, mese festive şi altele asemenea), precum şi a întrunirilor de natura activităţilor culturale, ştiinţifice, artistice, sportive sau de divertisment în spaţii deschise sau închise, </w:t>
      </w:r>
      <w:r w:rsidRPr="00F75ED8">
        <w:rPr>
          <w:rFonts w:ascii="Arial" w:eastAsia="Calibri" w:hAnsi="Arial" w:cs="Arial"/>
          <w:b/>
          <w:sz w:val="24"/>
          <w:szCs w:val="24"/>
        </w:rPr>
        <w:t>cu următoarele excepții:</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competiţiile sportive se pot desfăşura pe teritoriul României,</w:t>
      </w:r>
      <w:r w:rsidRPr="00F75ED8">
        <w:rPr>
          <w:rFonts w:ascii="Calibri" w:eastAsia="Calibri" w:hAnsi="Calibri" w:cs="Times New Roman"/>
          <w:sz w:val="22"/>
          <w:lang w:val="ro-RO"/>
        </w:rPr>
        <w:t xml:space="preserve"> </w:t>
      </w:r>
      <w:r w:rsidRPr="00F75ED8">
        <w:rPr>
          <w:rFonts w:ascii="Arial" w:eastAsia="Calibri" w:hAnsi="Arial" w:cs="Arial"/>
          <w:sz w:val="24"/>
          <w:szCs w:val="24"/>
        </w:rPr>
        <w:t>în spaţiile închise sau deschise, cu participarea spectatorilor până la:</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50% din capacitatea maximă a spaţiului în intervalul orar 5,00-22,00, cu asigurarea unei distanţe de minimum 2 metri între persoane şi purtarea măştii de protecţie în județele/localitățile în care rata de incidență cumulată la 14 zile este mai mică sau egală cu 1/1.000 de locuitori. Repartizarea spectatorilor se face pe întreaga suprafață a spațiului.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30% din capacitatea maximă a spaţiului, în intervalul orar 5,00-22,00, cu asigurarea unei distanţe de minimum 2 metri între persoane şi purtarea măştii de protecţie în județele/localitățile în care rata de incidență cumulată la 14 zile este mai mare de 1/1.000 de locuitori. Repartizarea spectatorilor se face pe întreaga suprafață a spațiului.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 xml:space="preserve">organizarea şi desfăşurarea activităţii în cadrul cinematografelor, instituţiilor de spectacole şi/sau concerte în spaţii închise sau deschise sunt permise cu participarea publicului până la: </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50% din capacitatea maximă a spaţiului în intervalul orar 5,00-22,00 şi cu purtarea măştii de protecţie în județele/localitățile în care rata de incidență cumulată la 14 zile este mai mică sau egală cu 1/1.000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30% din capacitatea maximă a spaţiului în intervalul orar 5,00-22,00 şi cu purtarea măştii de protecţie în județele/localitățile în care rata de incidență cumulată la 14 zile este mai mare de 1/1.000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organizarea şi desfăşurarea în aer liber a spectacolelor, concertelor, festivalurilor publice şi private sau a altor evenimente culturale sunt permise cu participarea publicului până la:</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50% din capacitatea maximă a spaţiului, dar nu mai mult de 1.000 de persoane, în intervalul orar 5,00-22,00, cu asigurarea unei distanțe de 2 metri între persoane și a unei suprafețe de minimum 4 mp pentru fiecare persoană, precum şi cu purtarea măştii de protecţie, în județele/localitățile în care rata de incidență cumulată la 14 zile este mai mică sau egală cu 1/1.000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30% din capacitatea maximă a spaţiului, dar nu mai mult de 500 de persoane, în intervalul orar 5,00-22,00, cu asigurarea unei distanțe de 2 metri între persoane și a unei suprafețe de minimum 4 mp pentru fiecare persoană, precum şi cu purtarea măştii de protecţie, în județele/localitățile în care rata de incidență cumulată la 14 zile este mai mare de 1/1.000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se permite, în condiţiile Legii nr. 60/1991 privind organizarea şi desfăşurarea adunărilor publice, republicată, cu modificările ulterioare, organizarea de mitinguri şi demonstraţii cu un număr de participanţi de maximum 100 de persoane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activitatea restaurantelor și cafenelelor este permisă, în interiorul clădirilor, precum şi la terase, până la:</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50% din capacitatea maximă a spaţiului în intervalul orar 5,00-22,00 în județele/localitățile în care rata de incidență cumulată la 14 zile este mai mică sau egală cu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30% din capacitatea maximă a spaţiului în intervalul orar 5,00-22,00 în județele/localitățile în care rata de incidență cumulată la 14 zile este mai mare de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activitatea restaurantelor şi a cafenelelor din interiorul hotelurilor, pensiunilor sau altor unităţi de cazare, precum şi la terasele acestora este permisă până la:</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50% din capacitatea maximă a spaţiului în intervalul orar 5,00-22,00 în județele/localitățile în care rata de incidență cumulată la 14 zile este mai mică sau egală cu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30% din capacitatea maximă a spaţiului în intervalul orar 5,00-22,00 în județele/localitățile în care rata de incidență cumulată la 14 zile este mai mare de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activitatea cu publicul în centrele şi parcurile comerciale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Măsura nu se aplică persoanelor care se prezintă la centrele de vaccinare în vederea administrării unei doze de vaccin, dacă sunt stabilite culoare dedicate şi controlate de intrare, deplasare şi ieşire în/din centrele şi parcurile comerciale</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activitatea cu publicul a operatorilor economici care au ca obiect principal de activitate comercializarea produselor nealimentare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Măsura nu se aplică unităţilor farmaceutice dispuse în afara centrelor şi parcurilor comerciale, precum şi benzinăriilor</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este permis accesul în cadrul spațiilor de comercializare a produselor nealimentare cu suprafața mai mică sau egală de 200 mp a tuturor persoanelor fără a fi necesară dovada vaccinării, testării sau vindecării de infecția cu virusul SARS-CoV-2, cu asigurarea unei distanțe de 2 metri între persoane și a unei suprafețe de minimum 4 mp pentru fiecare persoană și afișarea la intrarea în spațiul comercial a numărului maxim de persoane care se pot afla simultan în incintă</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activitatea în baruri, cluburi şi discoteci este interzisă</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activitatea cu publicul a operatorilor economici care desfăşoară activitatea în spaţii închise în domeniul sălilor de sport şi fitness este permisă fără a depăşi:</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50% din capacitatea maximă a spaţiului, cu asigurarea unei distanțe de 2 metri între persoane și a unei suprafețe de minimum 4 mp pentru fiecare persoană în județele/localitățile în care rata de incidență cumulată la 14 zile este mai mică sau egală cu 1/1.000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ind w:left="720"/>
        <w:jc w:val="both"/>
        <w:rPr>
          <w:rFonts w:ascii="Arial" w:eastAsia="Calibri" w:hAnsi="Arial" w:cs="Arial"/>
          <w:sz w:val="24"/>
          <w:szCs w:val="24"/>
        </w:rPr>
      </w:pPr>
      <w:r w:rsidRPr="00F75ED8">
        <w:rPr>
          <w:rFonts w:ascii="Arial" w:eastAsia="Calibri" w:hAnsi="Arial" w:cs="Arial"/>
          <w:sz w:val="24"/>
          <w:szCs w:val="24"/>
        </w:rPr>
        <w:t>30% din capacitatea maximă a spaţiului, cu asigurarea unei distanțe de 2 metri între persoane și a unei suprafețe de minimum 4 mp pentru fiecare persoană în județele/localitățile în care rata de incidență cumulată la 14 zile este mai mare de 1/1.000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activitatea operatorilor economici care administrează locuri de joacă pentru copii în spaţii închise sau deschise este permisă fără a depăşi 50% din capacitatea maximă a spaţiului în intervalul orar 5,00-22,00.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F75ED8" w:rsidRPr="00F75ED8" w:rsidRDefault="00F75ED8" w:rsidP="00F75ED8">
      <w:pPr>
        <w:numPr>
          <w:ilvl w:val="0"/>
          <w:numId w:val="13"/>
        </w:numPr>
        <w:jc w:val="both"/>
        <w:rPr>
          <w:rFonts w:ascii="Arial" w:eastAsia="Calibri" w:hAnsi="Arial" w:cs="Arial"/>
          <w:sz w:val="24"/>
          <w:szCs w:val="24"/>
        </w:rPr>
      </w:pPr>
      <w:r w:rsidRPr="00F75ED8">
        <w:rPr>
          <w:rFonts w:ascii="Arial" w:eastAsia="Calibri" w:hAnsi="Arial" w:cs="Arial"/>
          <w:sz w:val="24"/>
          <w:szCs w:val="24"/>
        </w:rPr>
        <w:t>În cadrul instituţiilor de învăţământ sunt permise activităţile didactice şi alte activităţi specifice, precum şi organizarea şi desfăşurarea examenelor pentru elevi/studenţi, cadre didactice, în condiţiile respectării măsurilor de prevenire, stabilite prin ordin comun al ministrului educaţiei şi al ministrului sănătăţii</w:t>
      </w:r>
    </w:p>
    <w:p w:rsidR="00F75ED8" w:rsidRPr="00F75ED8" w:rsidRDefault="00F75ED8" w:rsidP="00F75ED8">
      <w:pPr>
        <w:jc w:val="both"/>
        <w:rPr>
          <w:rFonts w:ascii="Calibri" w:eastAsia="Calibri" w:hAnsi="Calibri" w:cs="Times New Roman"/>
          <w:sz w:val="22"/>
          <w:lang w:val="ro-RO"/>
        </w:rPr>
      </w:pPr>
      <w:r w:rsidRPr="00F75ED8">
        <w:rPr>
          <w:rFonts w:ascii="Arial" w:eastAsia="Calibri" w:hAnsi="Arial" w:cs="Arial"/>
          <w:b/>
          <w:sz w:val="24"/>
          <w:szCs w:val="24"/>
        </w:rPr>
        <w:t>IMPORTANT! TOATE RESTRICȚIILE APLICABILE PE DURATA STĂRII DE ALERTĂ SUNT CUPRINSE ÎN ANEXA 3 A HOTĂRÂRII DE GUVERN NUMĂRUL 34 DIN 2022.</w:t>
      </w:r>
    </w:p>
    <w:p w:rsidR="00F75ED8" w:rsidRDefault="00F75ED8" w:rsidP="00377DC5"/>
    <w:p w:rsidR="00377DC5" w:rsidRPr="00377DC5" w:rsidRDefault="00377DC5" w:rsidP="00377DC5"/>
    <w:p w:rsidR="00377DC5" w:rsidRDefault="00377DC5" w:rsidP="00686000">
      <w:pPr>
        <w:spacing w:after="0"/>
        <w:rPr>
          <w:rFonts w:cs="Times New Roman"/>
        </w:rPr>
      </w:pPr>
      <w:bookmarkStart w:id="5" w:name="_Toc90637810"/>
    </w:p>
    <w:p w:rsidR="00377DC5" w:rsidRDefault="00377DC5" w:rsidP="00686000">
      <w:pPr>
        <w:spacing w:after="0"/>
        <w:rPr>
          <w:rFonts w:cs="Times New Roman"/>
        </w:rPr>
      </w:pPr>
    </w:p>
    <w:p w:rsidR="00377DC5" w:rsidRDefault="00377DC5" w:rsidP="00686000">
      <w:pPr>
        <w:spacing w:after="0"/>
        <w:rPr>
          <w:rFonts w:cs="Times New Roman"/>
        </w:rPr>
      </w:pPr>
    </w:p>
    <w:p w:rsidR="00377DC5" w:rsidRDefault="00377DC5" w:rsidP="00686000">
      <w:pPr>
        <w:spacing w:after="0"/>
        <w:rPr>
          <w:rFonts w:cs="Times New Roman"/>
        </w:rPr>
      </w:pPr>
    </w:p>
    <w:bookmarkEnd w:id="5"/>
    <w:p w:rsidR="00377DC5" w:rsidRDefault="00377DC5" w:rsidP="00686000">
      <w:pPr>
        <w:spacing w:after="0"/>
        <w:rPr>
          <w:rFonts w:cs="Times New Roman"/>
        </w:rPr>
      </w:pPr>
    </w:p>
    <w:sectPr w:rsidR="00377DC5" w:rsidSect="009D30E9">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4F6" w:rsidRDefault="007124F6" w:rsidP="00F72639">
      <w:pPr>
        <w:spacing w:after="0" w:line="240" w:lineRule="auto"/>
      </w:pPr>
      <w:r>
        <w:separator/>
      </w:r>
    </w:p>
  </w:endnote>
  <w:endnote w:type="continuationSeparator" w:id="0">
    <w:p w:rsidR="007124F6" w:rsidRDefault="007124F6" w:rsidP="00F7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B6D" w:rsidRPr="00F72639" w:rsidRDefault="00B96B6D" w:rsidP="006B538B">
    <w:pPr>
      <w:pStyle w:val="Subsol"/>
      <w:jc w:val="center"/>
      <w:rPr>
        <w:rFonts w:cs="Times New Roman"/>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4F6" w:rsidRDefault="007124F6" w:rsidP="00F72639">
      <w:pPr>
        <w:spacing w:after="0" w:line="240" w:lineRule="auto"/>
      </w:pPr>
      <w:r>
        <w:separator/>
      </w:r>
    </w:p>
  </w:footnote>
  <w:footnote w:type="continuationSeparator" w:id="0">
    <w:p w:rsidR="007124F6" w:rsidRDefault="007124F6" w:rsidP="00F72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9F2"/>
    <w:multiLevelType w:val="hybridMultilevel"/>
    <w:tmpl w:val="5F222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6A29"/>
    <w:multiLevelType w:val="multilevel"/>
    <w:tmpl w:val="E4C4A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B3A27"/>
    <w:multiLevelType w:val="hybridMultilevel"/>
    <w:tmpl w:val="3398A678"/>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FD40978"/>
    <w:multiLevelType w:val="hybridMultilevel"/>
    <w:tmpl w:val="CC70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D7298"/>
    <w:multiLevelType w:val="hybridMultilevel"/>
    <w:tmpl w:val="EC6A2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47DE9"/>
    <w:multiLevelType w:val="hybridMultilevel"/>
    <w:tmpl w:val="5484DB20"/>
    <w:lvl w:ilvl="0" w:tplc="8C1EF3A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34862"/>
    <w:multiLevelType w:val="hybridMultilevel"/>
    <w:tmpl w:val="6C521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A44B4"/>
    <w:multiLevelType w:val="hybridMultilevel"/>
    <w:tmpl w:val="2D661D4E"/>
    <w:lvl w:ilvl="0" w:tplc="9C5E36F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6B9E5B85"/>
    <w:multiLevelType w:val="hybridMultilevel"/>
    <w:tmpl w:val="A580C9BC"/>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3543721"/>
    <w:multiLevelType w:val="hybridMultilevel"/>
    <w:tmpl w:val="6D585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2307F"/>
    <w:multiLevelType w:val="hybridMultilevel"/>
    <w:tmpl w:val="53542F16"/>
    <w:lvl w:ilvl="0" w:tplc="8C1EF3AA">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7"/>
  </w:num>
  <w:num w:numId="4">
    <w:abstractNumId w:val="7"/>
  </w:num>
  <w:num w:numId="5">
    <w:abstractNumId w:val="2"/>
  </w:num>
  <w:num w:numId="6">
    <w:abstractNumId w:val="8"/>
  </w:num>
  <w:num w:numId="7">
    <w:abstractNumId w:val="5"/>
  </w:num>
  <w:num w:numId="8">
    <w:abstractNumId w:val="8"/>
  </w:num>
  <w:num w:numId="9">
    <w:abstractNumId w:val="10"/>
  </w:num>
  <w:num w:numId="10">
    <w:abstractNumId w:val="0"/>
  </w:num>
  <w:num w:numId="11">
    <w:abstractNumId w:val="9"/>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hideSpellingError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29"/>
    <w:rsid w:val="000B192E"/>
    <w:rsid w:val="00104C34"/>
    <w:rsid w:val="00152C52"/>
    <w:rsid w:val="001824B5"/>
    <w:rsid w:val="001A0A1F"/>
    <w:rsid w:val="001B0585"/>
    <w:rsid w:val="001C6C26"/>
    <w:rsid w:val="00233F93"/>
    <w:rsid w:val="00246FFA"/>
    <w:rsid w:val="00282420"/>
    <w:rsid w:val="002A3A88"/>
    <w:rsid w:val="002F474C"/>
    <w:rsid w:val="00306293"/>
    <w:rsid w:val="003420E5"/>
    <w:rsid w:val="00346195"/>
    <w:rsid w:val="00377DC5"/>
    <w:rsid w:val="0043392D"/>
    <w:rsid w:val="00526029"/>
    <w:rsid w:val="005810B5"/>
    <w:rsid w:val="00583DCA"/>
    <w:rsid w:val="0059024C"/>
    <w:rsid w:val="005F0435"/>
    <w:rsid w:val="00600780"/>
    <w:rsid w:val="00632859"/>
    <w:rsid w:val="00686000"/>
    <w:rsid w:val="006B538B"/>
    <w:rsid w:val="00705D54"/>
    <w:rsid w:val="00710809"/>
    <w:rsid w:val="007124F6"/>
    <w:rsid w:val="00730E6E"/>
    <w:rsid w:val="00771256"/>
    <w:rsid w:val="00796D29"/>
    <w:rsid w:val="008214F2"/>
    <w:rsid w:val="00834C49"/>
    <w:rsid w:val="008B35DC"/>
    <w:rsid w:val="009324FE"/>
    <w:rsid w:val="009509B1"/>
    <w:rsid w:val="009518CD"/>
    <w:rsid w:val="00964797"/>
    <w:rsid w:val="009734AC"/>
    <w:rsid w:val="00977C64"/>
    <w:rsid w:val="009D30E9"/>
    <w:rsid w:val="00A05357"/>
    <w:rsid w:val="00A52387"/>
    <w:rsid w:val="00AC1C8F"/>
    <w:rsid w:val="00AD399F"/>
    <w:rsid w:val="00B01E99"/>
    <w:rsid w:val="00B027CE"/>
    <w:rsid w:val="00B0791F"/>
    <w:rsid w:val="00B53E63"/>
    <w:rsid w:val="00B75481"/>
    <w:rsid w:val="00B96B6D"/>
    <w:rsid w:val="00BF7FD5"/>
    <w:rsid w:val="00C3657B"/>
    <w:rsid w:val="00CC6D33"/>
    <w:rsid w:val="00D8133A"/>
    <w:rsid w:val="00D879D1"/>
    <w:rsid w:val="00EF4E14"/>
    <w:rsid w:val="00F41B67"/>
    <w:rsid w:val="00F65DB8"/>
    <w:rsid w:val="00F70859"/>
    <w:rsid w:val="00F72639"/>
    <w:rsid w:val="00F7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763E27-88C2-4668-93DF-A773D543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B5"/>
    <w:rPr>
      <w:rFonts w:ascii="Times New Roman" w:hAnsi="Times New Roman"/>
      <w:sz w:val="28"/>
    </w:rPr>
  </w:style>
  <w:style w:type="paragraph" w:styleId="Titlu1">
    <w:name w:val="heading 1"/>
    <w:basedOn w:val="Normal"/>
    <w:next w:val="Normal"/>
    <w:link w:val="Titlu1Caracter"/>
    <w:uiPriority w:val="9"/>
    <w:qFormat/>
    <w:rsid w:val="00600780"/>
    <w:pPr>
      <w:spacing w:after="0"/>
      <w:outlineLvl w:val="0"/>
    </w:pPr>
    <w:rPr>
      <w:rFonts w:ascii="Arial" w:hAnsi="Arial" w:cs="Times New Roman"/>
      <w:b/>
      <w:color w:val="000000" w:themeColor="text1"/>
      <w:sz w:val="24"/>
      <w:szCs w:val="28"/>
      <w:u w:val="single"/>
    </w:rPr>
  </w:style>
  <w:style w:type="paragraph" w:styleId="Titlu2">
    <w:name w:val="heading 2"/>
    <w:basedOn w:val="Normal"/>
    <w:next w:val="Normal"/>
    <w:link w:val="Titlu2Caracter"/>
    <w:uiPriority w:val="9"/>
    <w:unhideWhenUsed/>
    <w:qFormat/>
    <w:rsid w:val="006B538B"/>
    <w:pPr>
      <w:spacing w:after="0"/>
      <w:jc w:val="both"/>
      <w:outlineLvl w:val="1"/>
    </w:pPr>
    <w:rPr>
      <w:rFonts w:cs="Times New Roman"/>
      <w:b/>
      <w:i/>
      <w:color w:val="002060"/>
      <w:szCs w:val="28"/>
    </w:rPr>
  </w:style>
  <w:style w:type="paragraph" w:styleId="Titlu3">
    <w:name w:val="heading 3"/>
    <w:basedOn w:val="Normal"/>
    <w:next w:val="Normal"/>
    <w:link w:val="Titlu3Caracter"/>
    <w:uiPriority w:val="9"/>
    <w:semiHidden/>
    <w:unhideWhenUsed/>
    <w:qFormat/>
    <w:rsid w:val="006B53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7263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72639"/>
  </w:style>
  <w:style w:type="paragraph" w:styleId="Subsol">
    <w:name w:val="footer"/>
    <w:basedOn w:val="Normal"/>
    <w:link w:val="SubsolCaracter"/>
    <w:uiPriority w:val="99"/>
    <w:unhideWhenUsed/>
    <w:rsid w:val="00F7263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72639"/>
  </w:style>
  <w:style w:type="character" w:styleId="Hyperlink">
    <w:name w:val="Hyperlink"/>
    <w:basedOn w:val="Fontdeparagrafimplicit"/>
    <w:uiPriority w:val="99"/>
    <w:unhideWhenUsed/>
    <w:rsid w:val="00F72639"/>
    <w:rPr>
      <w:color w:val="0563C1" w:themeColor="hyperlink"/>
      <w:u w:val="single"/>
    </w:rPr>
  </w:style>
  <w:style w:type="character" w:customStyle="1" w:styleId="Titlu1Caracter">
    <w:name w:val="Titlu 1 Caracter"/>
    <w:basedOn w:val="Fontdeparagrafimplicit"/>
    <w:link w:val="Titlu1"/>
    <w:uiPriority w:val="9"/>
    <w:rsid w:val="00600780"/>
    <w:rPr>
      <w:rFonts w:ascii="Arial" w:hAnsi="Arial" w:cs="Times New Roman"/>
      <w:b/>
      <w:color w:val="000000" w:themeColor="text1"/>
      <w:sz w:val="24"/>
      <w:szCs w:val="28"/>
      <w:u w:val="single"/>
    </w:rPr>
  </w:style>
  <w:style w:type="character" w:customStyle="1" w:styleId="Titlu2Caracter">
    <w:name w:val="Titlu 2 Caracter"/>
    <w:basedOn w:val="Fontdeparagrafimplicit"/>
    <w:link w:val="Titlu2"/>
    <w:uiPriority w:val="9"/>
    <w:rsid w:val="006B538B"/>
    <w:rPr>
      <w:rFonts w:ascii="Times New Roman" w:hAnsi="Times New Roman" w:cs="Times New Roman"/>
      <w:b/>
      <w:i/>
      <w:color w:val="002060"/>
      <w:sz w:val="28"/>
      <w:szCs w:val="28"/>
    </w:rPr>
  </w:style>
  <w:style w:type="character" w:customStyle="1" w:styleId="Titlu3Caracter">
    <w:name w:val="Titlu 3 Caracter"/>
    <w:basedOn w:val="Fontdeparagrafimplicit"/>
    <w:link w:val="Titlu3"/>
    <w:uiPriority w:val="9"/>
    <w:semiHidden/>
    <w:rsid w:val="006B538B"/>
    <w:rPr>
      <w:rFonts w:asciiTheme="majorHAnsi" w:eastAsiaTheme="majorEastAsia" w:hAnsiTheme="majorHAnsi" w:cstheme="majorBidi"/>
      <w:color w:val="1F4D78" w:themeColor="accent1" w:themeShade="7F"/>
      <w:sz w:val="24"/>
      <w:szCs w:val="24"/>
    </w:rPr>
  </w:style>
  <w:style w:type="paragraph" w:styleId="Cuprins1">
    <w:name w:val="toc 1"/>
    <w:basedOn w:val="Normal"/>
    <w:next w:val="Normal"/>
    <w:autoRedefine/>
    <w:uiPriority w:val="39"/>
    <w:unhideWhenUsed/>
    <w:rsid w:val="006B538B"/>
    <w:pPr>
      <w:spacing w:after="100"/>
    </w:pPr>
  </w:style>
  <w:style w:type="paragraph" w:styleId="Cuprins2">
    <w:name w:val="toc 2"/>
    <w:basedOn w:val="Normal"/>
    <w:next w:val="Normal"/>
    <w:autoRedefine/>
    <w:uiPriority w:val="39"/>
    <w:unhideWhenUsed/>
    <w:rsid w:val="006B538B"/>
    <w:pPr>
      <w:spacing w:after="100"/>
      <w:ind w:left="220"/>
    </w:pPr>
  </w:style>
  <w:style w:type="character" w:customStyle="1" w:styleId="mg-autor-name">
    <w:name w:val="mg-autor-name"/>
    <w:basedOn w:val="Fontdeparagrafimplicit"/>
    <w:rsid w:val="00796D29"/>
  </w:style>
  <w:style w:type="character" w:customStyle="1" w:styleId="mg-blog-date">
    <w:name w:val="mg-blog-date"/>
    <w:basedOn w:val="Fontdeparagrafimplicit"/>
    <w:rsid w:val="00796D29"/>
  </w:style>
  <w:style w:type="character" w:customStyle="1" w:styleId="mg-blog-meta-other">
    <w:name w:val="mg-blog-meta-other"/>
    <w:basedOn w:val="Fontdeparagrafimplicit"/>
    <w:rsid w:val="00796D29"/>
  </w:style>
  <w:style w:type="paragraph" w:styleId="Cuprins3">
    <w:name w:val="toc 3"/>
    <w:basedOn w:val="Normal"/>
    <w:next w:val="Normal"/>
    <w:autoRedefine/>
    <w:uiPriority w:val="39"/>
    <w:unhideWhenUsed/>
    <w:rsid w:val="009509B1"/>
    <w:pPr>
      <w:spacing w:after="100"/>
      <w:ind w:left="440"/>
    </w:pPr>
  </w:style>
  <w:style w:type="paragraph" w:styleId="Listparagraf">
    <w:name w:val="List Paragraph"/>
    <w:basedOn w:val="Normal"/>
    <w:uiPriority w:val="34"/>
    <w:qFormat/>
    <w:rsid w:val="00B027CE"/>
    <w:pPr>
      <w:ind w:left="720"/>
      <w:contextualSpacing/>
    </w:pPr>
  </w:style>
  <w:style w:type="character" w:styleId="HyperlinkParcurs">
    <w:name w:val="FollowedHyperlink"/>
    <w:basedOn w:val="Fontdeparagrafimplicit"/>
    <w:uiPriority w:val="99"/>
    <w:semiHidden/>
    <w:unhideWhenUsed/>
    <w:rsid w:val="00686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9352">
      <w:bodyDiv w:val="1"/>
      <w:marLeft w:val="0"/>
      <w:marRight w:val="0"/>
      <w:marTop w:val="0"/>
      <w:marBottom w:val="0"/>
      <w:divBdr>
        <w:top w:val="none" w:sz="0" w:space="0" w:color="auto"/>
        <w:left w:val="none" w:sz="0" w:space="0" w:color="auto"/>
        <w:bottom w:val="none" w:sz="0" w:space="0" w:color="auto"/>
        <w:right w:val="none" w:sz="0" w:space="0" w:color="auto"/>
      </w:divBdr>
    </w:div>
    <w:div w:id="305621618">
      <w:bodyDiv w:val="1"/>
      <w:marLeft w:val="0"/>
      <w:marRight w:val="0"/>
      <w:marTop w:val="0"/>
      <w:marBottom w:val="0"/>
      <w:divBdr>
        <w:top w:val="none" w:sz="0" w:space="0" w:color="auto"/>
        <w:left w:val="none" w:sz="0" w:space="0" w:color="auto"/>
        <w:bottom w:val="none" w:sz="0" w:space="0" w:color="auto"/>
        <w:right w:val="none" w:sz="0" w:space="0" w:color="auto"/>
      </w:divBdr>
    </w:div>
    <w:div w:id="640426497">
      <w:bodyDiv w:val="1"/>
      <w:marLeft w:val="0"/>
      <w:marRight w:val="0"/>
      <w:marTop w:val="0"/>
      <w:marBottom w:val="0"/>
      <w:divBdr>
        <w:top w:val="none" w:sz="0" w:space="0" w:color="auto"/>
        <w:left w:val="none" w:sz="0" w:space="0" w:color="auto"/>
        <w:bottom w:val="none" w:sz="0" w:space="0" w:color="auto"/>
        <w:right w:val="none" w:sz="0" w:space="0" w:color="auto"/>
      </w:divBdr>
      <w:divsChild>
        <w:div w:id="2116438776">
          <w:marLeft w:val="0"/>
          <w:marRight w:val="0"/>
          <w:marTop w:val="0"/>
          <w:marBottom w:val="0"/>
          <w:divBdr>
            <w:top w:val="none" w:sz="0" w:space="0" w:color="auto"/>
            <w:left w:val="none" w:sz="0" w:space="0" w:color="auto"/>
            <w:bottom w:val="none" w:sz="0" w:space="0" w:color="auto"/>
            <w:right w:val="none" w:sz="0" w:space="0" w:color="auto"/>
          </w:divBdr>
        </w:div>
      </w:divsChild>
    </w:div>
    <w:div w:id="720904352">
      <w:bodyDiv w:val="1"/>
      <w:marLeft w:val="0"/>
      <w:marRight w:val="0"/>
      <w:marTop w:val="0"/>
      <w:marBottom w:val="0"/>
      <w:divBdr>
        <w:top w:val="none" w:sz="0" w:space="0" w:color="auto"/>
        <w:left w:val="none" w:sz="0" w:space="0" w:color="auto"/>
        <w:bottom w:val="none" w:sz="0" w:space="0" w:color="auto"/>
        <w:right w:val="none" w:sz="0" w:space="0" w:color="auto"/>
      </w:divBdr>
    </w:div>
    <w:div w:id="1280647447">
      <w:bodyDiv w:val="1"/>
      <w:marLeft w:val="0"/>
      <w:marRight w:val="0"/>
      <w:marTop w:val="0"/>
      <w:marBottom w:val="0"/>
      <w:divBdr>
        <w:top w:val="none" w:sz="0" w:space="0" w:color="auto"/>
        <w:left w:val="none" w:sz="0" w:space="0" w:color="auto"/>
        <w:bottom w:val="none" w:sz="0" w:space="0" w:color="auto"/>
        <w:right w:val="none" w:sz="0" w:space="0" w:color="auto"/>
      </w:divBdr>
    </w:div>
    <w:div w:id="1362124175">
      <w:bodyDiv w:val="1"/>
      <w:marLeft w:val="0"/>
      <w:marRight w:val="0"/>
      <w:marTop w:val="0"/>
      <w:marBottom w:val="0"/>
      <w:divBdr>
        <w:top w:val="none" w:sz="0" w:space="0" w:color="auto"/>
        <w:left w:val="none" w:sz="0" w:space="0" w:color="auto"/>
        <w:bottom w:val="none" w:sz="0" w:space="0" w:color="auto"/>
        <w:right w:val="none" w:sz="0" w:space="0" w:color="auto"/>
      </w:divBdr>
    </w:div>
    <w:div w:id="1419132524">
      <w:bodyDiv w:val="1"/>
      <w:marLeft w:val="0"/>
      <w:marRight w:val="0"/>
      <w:marTop w:val="0"/>
      <w:marBottom w:val="0"/>
      <w:divBdr>
        <w:top w:val="none" w:sz="0" w:space="0" w:color="auto"/>
        <w:left w:val="none" w:sz="0" w:space="0" w:color="auto"/>
        <w:bottom w:val="none" w:sz="0" w:space="0" w:color="auto"/>
        <w:right w:val="none" w:sz="0" w:space="0" w:color="auto"/>
      </w:divBdr>
      <w:divsChild>
        <w:div w:id="1417629856">
          <w:marLeft w:val="0"/>
          <w:marRight w:val="0"/>
          <w:marTop w:val="450"/>
          <w:marBottom w:val="0"/>
          <w:divBdr>
            <w:top w:val="none" w:sz="0" w:space="0" w:color="auto"/>
            <w:left w:val="none" w:sz="0" w:space="0" w:color="auto"/>
            <w:bottom w:val="none" w:sz="0" w:space="0" w:color="auto"/>
            <w:right w:val="none" w:sz="0" w:space="0" w:color="auto"/>
          </w:divBdr>
          <w:divsChild>
            <w:div w:id="1598100557">
              <w:marLeft w:val="0"/>
              <w:marRight w:val="0"/>
              <w:marTop w:val="0"/>
              <w:marBottom w:val="240"/>
              <w:divBdr>
                <w:top w:val="none" w:sz="0" w:space="0" w:color="auto"/>
                <w:left w:val="none" w:sz="0" w:space="0" w:color="auto"/>
                <w:bottom w:val="none" w:sz="0" w:space="0" w:color="auto"/>
                <w:right w:val="none" w:sz="0" w:space="0" w:color="auto"/>
              </w:divBdr>
            </w:div>
          </w:divsChild>
        </w:div>
        <w:div w:id="771045592">
          <w:marLeft w:val="0"/>
          <w:marRight w:val="0"/>
          <w:marTop w:val="0"/>
          <w:marBottom w:val="0"/>
          <w:divBdr>
            <w:top w:val="none" w:sz="0" w:space="0" w:color="auto"/>
            <w:left w:val="none" w:sz="0" w:space="0" w:color="auto"/>
            <w:bottom w:val="none" w:sz="0" w:space="0" w:color="auto"/>
            <w:right w:val="none" w:sz="0" w:space="0" w:color="auto"/>
          </w:divBdr>
        </w:div>
      </w:divsChild>
    </w:div>
    <w:div w:id="1700548480">
      <w:bodyDiv w:val="1"/>
      <w:marLeft w:val="0"/>
      <w:marRight w:val="0"/>
      <w:marTop w:val="0"/>
      <w:marBottom w:val="0"/>
      <w:divBdr>
        <w:top w:val="none" w:sz="0" w:space="0" w:color="auto"/>
        <w:left w:val="none" w:sz="0" w:space="0" w:color="auto"/>
        <w:bottom w:val="none" w:sz="0" w:space="0" w:color="auto"/>
        <w:right w:val="none" w:sz="0" w:space="0" w:color="auto"/>
      </w:divBdr>
    </w:div>
    <w:div w:id="1707758195">
      <w:bodyDiv w:val="1"/>
      <w:marLeft w:val="0"/>
      <w:marRight w:val="0"/>
      <w:marTop w:val="0"/>
      <w:marBottom w:val="0"/>
      <w:divBdr>
        <w:top w:val="none" w:sz="0" w:space="0" w:color="auto"/>
        <w:left w:val="none" w:sz="0" w:space="0" w:color="auto"/>
        <w:bottom w:val="none" w:sz="0" w:space="0" w:color="auto"/>
        <w:right w:val="none" w:sz="0" w:space="0" w:color="auto"/>
      </w:divBdr>
    </w:div>
    <w:div w:id="1709992857">
      <w:bodyDiv w:val="1"/>
      <w:marLeft w:val="0"/>
      <w:marRight w:val="0"/>
      <w:marTop w:val="0"/>
      <w:marBottom w:val="0"/>
      <w:divBdr>
        <w:top w:val="none" w:sz="0" w:space="0" w:color="auto"/>
        <w:left w:val="none" w:sz="0" w:space="0" w:color="auto"/>
        <w:bottom w:val="none" w:sz="0" w:space="0" w:color="auto"/>
        <w:right w:val="none" w:sz="0" w:space="0" w:color="auto"/>
      </w:divBdr>
    </w:div>
    <w:div w:id="1948077115">
      <w:bodyDiv w:val="1"/>
      <w:marLeft w:val="0"/>
      <w:marRight w:val="0"/>
      <w:marTop w:val="0"/>
      <w:marBottom w:val="0"/>
      <w:divBdr>
        <w:top w:val="none" w:sz="0" w:space="0" w:color="auto"/>
        <w:left w:val="none" w:sz="0" w:space="0" w:color="auto"/>
        <w:bottom w:val="none" w:sz="0" w:space="0" w:color="auto"/>
        <w:right w:val="none" w:sz="0" w:space="0" w:color="auto"/>
      </w:divBdr>
    </w:div>
    <w:div w:id="2072993410">
      <w:bodyDiv w:val="1"/>
      <w:marLeft w:val="0"/>
      <w:marRight w:val="0"/>
      <w:marTop w:val="0"/>
      <w:marBottom w:val="0"/>
      <w:divBdr>
        <w:top w:val="none" w:sz="0" w:space="0" w:color="auto"/>
        <w:left w:val="none" w:sz="0" w:space="0" w:color="auto"/>
        <w:bottom w:val="none" w:sz="0" w:space="0" w:color="auto"/>
        <w:right w:val="none" w:sz="0" w:space="0" w:color="auto"/>
      </w:divBdr>
    </w:div>
    <w:div w:id="21453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E515-796E-479E-BECE-8BEF8339E5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4866</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Tiberiu Hotoiu</dc:creator>
  <cp:keywords/>
  <dc:description/>
  <cp:lastModifiedBy>Utilizator invitat</cp:lastModifiedBy>
  <cp:revision>2</cp:revision>
  <dcterms:created xsi:type="dcterms:W3CDTF">2022-01-07T16:10:00Z</dcterms:created>
  <dcterms:modified xsi:type="dcterms:W3CDTF">2022-01-07T16:10:00Z</dcterms:modified>
</cp:coreProperties>
</file>